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9B7DD3">
      <w:pPr>
        <w:pStyle w:val="22"/>
        <w:ind w:firstLine="0" w:firstLineChars="0"/>
        <w:jc w:val="center"/>
        <w:rPr>
          <w:rFonts w:hint="eastAsia" w:ascii="宋体" w:hAnsi="宋体" w:eastAsia="宋体" w:cs="宋体"/>
          <w:b/>
          <w:bCs/>
          <w:color w:val="auto"/>
          <w:sz w:val="48"/>
          <w:szCs w:val="48"/>
          <w:highlight w:val="none"/>
        </w:rPr>
      </w:pPr>
    </w:p>
    <w:p w14:paraId="5FC6F5C4">
      <w:pPr>
        <w:pStyle w:val="22"/>
        <w:ind w:firstLine="0" w:firstLineChars="0"/>
        <w:jc w:val="center"/>
        <w:rPr>
          <w:rFonts w:hint="eastAsia" w:ascii="宋体" w:hAnsi="宋体" w:eastAsia="宋体" w:cs="宋体"/>
          <w:b/>
          <w:bCs/>
          <w:color w:val="auto"/>
          <w:sz w:val="48"/>
          <w:szCs w:val="48"/>
          <w:highlight w:val="none"/>
        </w:rPr>
      </w:pPr>
    </w:p>
    <w:p w14:paraId="11CB0911">
      <w:pPr>
        <w:pStyle w:val="22"/>
        <w:ind w:firstLine="0" w:firstLineChars="0"/>
        <w:jc w:val="center"/>
        <w:rPr>
          <w:rFonts w:hint="eastAsia" w:ascii="宋体" w:hAnsi="宋体" w:eastAsia="宋体" w:cs="宋体"/>
          <w:b/>
          <w:bCs/>
          <w:color w:val="auto"/>
          <w:sz w:val="48"/>
          <w:szCs w:val="48"/>
          <w:highlight w:val="none"/>
        </w:rPr>
      </w:pPr>
    </w:p>
    <w:p w14:paraId="27DE39A6">
      <w:pPr>
        <w:pStyle w:val="22"/>
        <w:ind w:firstLine="0" w:firstLineChars="0"/>
        <w:jc w:val="center"/>
        <w:rPr>
          <w:rFonts w:hint="eastAsia" w:ascii="宋体" w:hAnsi="宋体" w:eastAsia="宋体" w:cs="宋体"/>
          <w:b/>
          <w:bCs/>
          <w:color w:val="auto"/>
          <w:sz w:val="48"/>
          <w:szCs w:val="48"/>
          <w:highlight w:val="none"/>
          <w:lang w:eastAsia="zh-CN"/>
        </w:rPr>
      </w:pPr>
      <w:r>
        <w:rPr>
          <w:rFonts w:hint="eastAsia" w:hAnsi="宋体" w:cs="宋体"/>
          <w:b/>
          <w:bCs/>
          <w:color w:val="auto"/>
          <w:sz w:val="48"/>
          <w:szCs w:val="48"/>
          <w:highlight w:val="none"/>
          <w:lang w:eastAsia="zh-CN"/>
        </w:rPr>
        <w:t>仪征市中医院</w:t>
      </w:r>
    </w:p>
    <w:p w14:paraId="14A3A101">
      <w:pPr>
        <w:pStyle w:val="22"/>
        <w:snapToGrid/>
        <w:spacing w:line="240" w:lineRule="auto"/>
        <w:ind w:firstLine="0" w:firstLineChars="0"/>
        <w:rPr>
          <w:rFonts w:hint="eastAsia" w:ascii="宋体" w:hAnsi="宋体" w:eastAsia="宋体" w:cs="宋体"/>
          <w:b/>
          <w:bCs/>
          <w:color w:val="auto"/>
          <w:kern w:val="2"/>
          <w:sz w:val="48"/>
          <w:szCs w:val="48"/>
          <w:highlight w:val="none"/>
        </w:rPr>
      </w:pPr>
    </w:p>
    <w:p w14:paraId="4F9FA502">
      <w:pPr>
        <w:pStyle w:val="22"/>
        <w:ind w:firstLine="0" w:firstLineChars="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招 标 文 件</w:t>
      </w:r>
    </w:p>
    <w:p w14:paraId="40C3327D">
      <w:pPr>
        <w:pStyle w:val="22"/>
        <w:ind w:firstLine="0" w:firstLineChars="0"/>
        <w:jc w:val="center"/>
        <w:rPr>
          <w:rFonts w:hint="eastAsia" w:ascii="宋体" w:hAnsi="宋体" w:eastAsia="宋体" w:cs="宋体"/>
          <w:b/>
          <w:bCs/>
          <w:color w:val="auto"/>
          <w:sz w:val="72"/>
          <w:szCs w:val="72"/>
          <w:highlight w:val="none"/>
        </w:rPr>
      </w:pPr>
    </w:p>
    <w:p w14:paraId="31FF2076">
      <w:pPr>
        <w:snapToGrid w:val="0"/>
        <w:spacing w:before="100" w:after="100" w:line="360" w:lineRule="auto"/>
        <w:ind w:firstLine="482" w:firstLineChars="150"/>
        <w:jc w:val="both"/>
        <w:rPr>
          <w:rFonts w:hint="eastAsia" w:ascii="宋体" w:hAnsi="宋体" w:eastAsia="宋体" w:cs="Microsoft New Tai Lue"/>
          <w:b/>
          <w:bCs/>
          <w:color w:val="auto"/>
          <w:kern w:val="2"/>
          <w:sz w:val="32"/>
          <w:szCs w:val="32"/>
          <w:highlight w:val="none"/>
        </w:rPr>
      </w:pPr>
    </w:p>
    <w:p w14:paraId="6492DBF4">
      <w:pPr>
        <w:snapToGrid w:val="0"/>
        <w:spacing w:before="100" w:after="100" w:line="360" w:lineRule="auto"/>
        <w:ind w:firstLine="482" w:firstLineChars="150"/>
        <w:jc w:val="both"/>
        <w:rPr>
          <w:rFonts w:hint="eastAsia" w:ascii="宋体" w:hAnsi="宋体" w:eastAsia="宋体" w:cs="Microsoft New Tai Lue"/>
          <w:b/>
          <w:bCs/>
          <w:color w:val="auto"/>
          <w:kern w:val="2"/>
          <w:sz w:val="32"/>
          <w:szCs w:val="32"/>
          <w:highlight w:val="none"/>
        </w:rPr>
      </w:pPr>
    </w:p>
    <w:p w14:paraId="5FADC2F5">
      <w:pPr>
        <w:snapToGrid w:val="0"/>
        <w:spacing w:before="100" w:after="100" w:line="360" w:lineRule="auto"/>
        <w:ind w:firstLine="482" w:firstLineChars="150"/>
        <w:jc w:val="both"/>
        <w:rPr>
          <w:rFonts w:hint="eastAsia" w:ascii="宋体" w:hAnsi="宋体" w:eastAsia="宋体" w:cs="Microsoft New Tai Lue"/>
          <w:b/>
          <w:bCs/>
          <w:color w:val="auto"/>
          <w:kern w:val="2"/>
          <w:sz w:val="32"/>
          <w:szCs w:val="32"/>
          <w:highlight w:val="none"/>
          <w:lang w:eastAsia="zh-CN"/>
        </w:rPr>
      </w:pPr>
      <w:r>
        <w:rPr>
          <w:rFonts w:hint="eastAsia" w:ascii="宋体" w:hAnsi="宋体" w:eastAsia="宋体" w:cs="Microsoft New Tai Lue"/>
          <w:b/>
          <w:bCs/>
          <w:color w:val="auto"/>
          <w:kern w:val="2"/>
          <w:sz w:val="32"/>
          <w:szCs w:val="32"/>
          <w:highlight w:val="none"/>
        </w:rPr>
        <w:t>项目编号：</w:t>
      </w:r>
      <w:r>
        <w:rPr>
          <w:rFonts w:hint="eastAsia" w:ascii="宋体" w:hAnsi="宋体" w:cs="Microsoft New Tai Lue"/>
          <w:b/>
          <w:bCs/>
          <w:color w:val="auto"/>
          <w:kern w:val="2"/>
          <w:sz w:val="32"/>
          <w:szCs w:val="32"/>
          <w:highlight w:val="none"/>
          <w:lang w:eastAsia="zh-CN"/>
        </w:rPr>
        <w:t>JSZC-321081-JITC-G2025-0377</w:t>
      </w:r>
    </w:p>
    <w:p w14:paraId="3EE3064B">
      <w:pPr>
        <w:snapToGrid w:val="0"/>
        <w:spacing w:before="100" w:after="100" w:line="360" w:lineRule="auto"/>
        <w:ind w:firstLine="482" w:firstLineChars="150"/>
        <w:jc w:val="both"/>
        <w:rPr>
          <w:rFonts w:hint="eastAsia" w:ascii="宋体" w:hAnsi="宋体" w:eastAsia="宋体" w:cs="Microsoft New Tai Lue"/>
          <w:b/>
          <w:bCs/>
          <w:color w:val="auto"/>
          <w:kern w:val="2"/>
          <w:sz w:val="32"/>
          <w:szCs w:val="32"/>
          <w:highlight w:val="none"/>
        </w:rPr>
      </w:pPr>
      <w:r>
        <w:rPr>
          <w:rFonts w:hint="eastAsia" w:ascii="宋体" w:hAnsi="宋体" w:eastAsia="宋体" w:cs="Microsoft New Tai Lue"/>
          <w:b/>
          <w:bCs/>
          <w:color w:val="auto"/>
          <w:kern w:val="2"/>
          <w:sz w:val="32"/>
          <w:szCs w:val="32"/>
          <w:highlight w:val="none"/>
        </w:rPr>
        <w:t>项目名称：仪征市中医院光学相干断层扫描仪采购项目</w:t>
      </w:r>
    </w:p>
    <w:p w14:paraId="2B841BB6">
      <w:pPr>
        <w:snapToGrid w:val="0"/>
        <w:spacing w:before="100" w:after="100" w:line="360" w:lineRule="auto"/>
        <w:ind w:firstLine="482" w:firstLineChars="150"/>
        <w:jc w:val="both"/>
        <w:rPr>
          <w:rFonts w:hint="eastAsia" w:ascii="宋体" w:hAnsi="宋体" w:eastAsia="宋体" w:cs="Microsoft New Tai Lue"/>
          <w:b/>
          <w:bCs/>
          <w:color w:val="auto"/>
          <w:kern w:val="2"/>
          <w:sz w:val="32"/>
          <w:szCs w:val="32"/>
          <w:highlight w:val="none"/>
          <w:lang w:eastAsia="zh-CN"/>
        </w:rPr>
      </w:pPr>
      <w:r>
        <w:rPr>
          <w:rFonts w:hint="eastAsia" w:ascii="宋体" w:hAnsi="宋体" w:eastAsia="宋体" w:cs="Microsoft New Tai Lue"/>
          <w:b/>
          <w:bCs/>
          <w:color w:val="auto"/>
          <w:kern w:val="2"/>
          <w:sz w:val="32"/>
          <w:szCs w:val="32"/>
          <w:highlight w:val="none"/>
        </w:rPr>
        <w:t>采 购 人：</w:t>
      </w:r>
      <w:r>
        <w:rPr>
          <w:rFonts w:hint="eastAsia" w:ascii="宋体" w:hAnsi="宋体" w:cs="Microsoft New Tai Lue"/>
          <w:b/>
          <w:bCs/>
          <w:color w:val="auto"/>
          <w:kern w:val="2"/>
          <w:sz w:val="32"/>
          <w:szCs w:val="32"/>
          <w:highlight w:val="none"/>
          <w:lang w:eastAsia="zh-CN"/>
        </w:rPr>
        <w:t>仪征市中医院</w:t>
      </w:r>
    </w:p>
    <w:p w14:paraId="169B83DB">
      <w:pPr>
        <w:spacing w:before="100" w:after="100"/>
        <w:ind w:left="420" w:firstLine="482"/>
        <w:jc w:val="left"/>
        <w:rPr>
          <w:rFonts w:hint="eastAsia" w:ascii="宋体" w:hAnsi="宋体" w:eastAsia="宋体" w:cs="宋体"/>
          <w:b/>
          <w:bCs/>
          <w:color w:val="auto"/>
          <w:sz w:val="32"/>
          <w:szCs w:val="32"/>
          <w:highlight w:val="none"/>
        </w:rPr>
      </w:pPr>
    </w:p>
    <w:p w14:paraId="0FE42844">
      <w:pPr>
        <w:ind w:firstLine="482"/>
        <w:jc w:val="center"/>
        <w:rPr>
          <w:rFonts w:hint="eastAsia" w:ascii="宋体" w:hAnsi="宋体" w:eastAsia="宋体" w:cs="宋体"/>
          <w:b/>
          <w:bCs/>
          <w:color w:val="auto"/>
          <w:sz w:val="32"/>
          <w:highlight w:val="none"/>
        </w:rPr>
      </w:pPr>
    </w:p>
    <w:p w14:paraId="64DE6BE0">
      <w:pPr>
        <w:ind w:firstLine="482"/>
        <w:jc w:val="center"/>
        <w:rPr>
          <w:rFonts w:hint="eastAsia" w:ascii="宋体" w:hAnsi="宋体" w:eastAsia="宋体" w:cs="宋体"/>
          <w:b/>
          <w:bCs/>
          <w:color w:val="auto"/>
          <w:sz w:val="32"/>
          <w:highlight w:val="none"/>
        </w:rPr>
      </w:pPr>
    </w:p>
    <w:p w14:paraId="2BDAFEDC">
      <w:pPr>
        <w:pStyle w:val="19"/>
        <w:ind w:left="1260"/>
        <w:rPr>
          <w:rFonts w:hint="eastAsia" w:ascii="宋体" w:hAnsi="宋体" w:eastAsia="宋体" w:cs="宋体"/>
          <w:b/>
          <w:bCs/>
          <w:color w:val="auto"/>
          <w:highlight w:val="none"/>
        </w:rPr>
      </w:pPr>
    </w:p>
    <w:p w14:paraId="233962E6">
      <w:pPr>
        <w:snapToGrid w:val="0"/>
        <w:spacing w:line="360" w:lineRule="auto"/>
        <w:ind w:firstLine="482" w:firstLineChars="150"/>
        <w:jc w:val="center"/>
        <w:rPr>
          <w:rFonts w:hint="eastAsia" w:ascii="宋体" w:hAnsi="宋体" w:eastAsia="宋体" w:cs="Microsoft New Tai Lue"/>
          <w:b/>
          <w:bCs/>
          <w:color w:val="auto"/>
          <w:kern w:val="2"/>
          <w:sz w:val="32"/>
          <w:szCs w:val="21"/>
          <w:highlight w:val="none"/>
        </w:rPr>
      </w:pPr>
    </w:p>
    <w:p w14:paraId="203600C8">
      <w:pPr>
        <w:snapToGrid w:val="0"/>
        <w:spacing w:line="360" w:lineRule="auto"/>
        <w:ind w:left="0" w:leftChars="0" w:firstLine="0" w:firstLineChars="0"/>
        <w:jc w:val="center"/>
        <w:rPr>
          <w:rFonts w:hint="eastAsia" w:ascii="宋体" w:hAnsi="宋体" w:eastAsia="宋体" w:cs="Microsoft New Tai Lue"/>
          <w:b/>
          <w:bCs/>
          <w:color w:val="auto"/>
          <w:kern w:val="2"/>
          <w:sz w:val="32"/>
          <w:szCs w:val="21"/>
          <w:highlight w:val="none"/>
        </w:rPr>
      </w:pPr>
      <w:r>
        <w:rPr>
          <w:rFonts w:hint="eastAsia" w:ascii="宋体" w:hAnsi="宋体" w:eastAsia="宋体" w:cs="Microsoft New Tai Lue"/>
          <w:b/>
          <w:bCs/>
          <w:color w:val="auto"/>
          <w:kern w:val="2"/>
          <w:sz w:val="32"/>
          <w:szCs w:val="21"/>
          <w:highlight w:val="none"/>
        </w:rPr>
        <w:t>采购代理机构：江苏省招标中心有限公司</w:t>
      </w:r>
    </w:p>
    <w:p w14:paraId="4DAE404C">
      <w:pPr>
        <w:snapToGrid w:val="0"/>
        <w:spacing w:line="360" w:lineRule="auto"/>
        <w:ind w:left="0" w:leftChars="0" w:firstLine="0" w:firstLineChars="0"/>
        <w:jc w:val="center"/>
        <w:rPr>
          <w:rFonts w:hint="eastAsia" w:ascii="宋体" w:hAnsi="宋体" w:eastAsia="宋体" w:cs="Microsoft New Tai Lue"/>
          <w:b/>
          <w:bCs/>
          <w:color w:val="auto"/>
          <w:kern w:val="2"/>
          <w:sz w:val="32"/>
          <w:szCs w:val="21"/>
          <w:highlight w:val="none"/>
        </w:rPr>
      </w:pPr>
      <w:r>
        <w:rPr>
          <w:rFonts w:hint="eastAsia" w:ascii="宋体" w:hAnsi="宋体" w:eastAsia="宋体" w:cs="Microsoft New Tai Lue"/>
          <w:b/>
          <w:bCs/>
          <w:color w:val="auto"/>
          <w:kern w:val="2"/>
          <w:sz w:val="32"/>
          <w:szCs w:val="21"/>
          <w:highlight w:val="none"/>
        </w:rPr>
        <w:t>二O二五年</w:t>
      </w:r>
      <w:r>
        <w:rPr>
          <w:rFonts w:hint="eastAsia" w:ascii="宋体" w:hAnsi="宋体" w:cs="Microsoft New Tai Lue"/>
          <w:b/>
          <w:bCs/>
          <w:color w:val="auto"/>
          <w:kern w:val="2"/>
          <w:sz w:val="32"/>
          <w:szCs w:val="21"/>
          <w:highlight w:val="none"/>
          <w:lang w:val="en-US" w:eastAsia="zh-CN"/>
        </w:rPr>
        <w:t>十一</w:t>
      </w:r>
      <w:r>
        <w:rPr>
          <w:rFonts w:hint="eastAsia" w:ascii="宋体" w:hAnsi="宋体" w:eastAsia="宋体" w:cs="Microsoft New Tai Lue"/>
          <w:b/>
          <w:bCs/>
          <w:color w:val="auto"/>
          <w:kern w:val="2"/>
          <w:sz w:val="32"/>
          <w:szCs w:val="21"/>
          <w:highlight w:val="none"/>
        </w:rPr>
        <w:t>月</w:t>
      </w:r>
    </w:p>
    <w:p w14:paraId="5CDAA8FE">
      <w:pPr>
        <w:spacing w:line="360" w:lineRule="auto"/>
        <w:jc w:val="center"/>
        <w:rPr>
          <w:rFonts w:hint="eastAsia" w:ascii="宋体" w:hAnsi="宋体"/>
          <w:color w:val="auto"/>
          <w:sz w:val="32"/>
          <w:highlight w:val="none"/>
        </w:rPr>
        <w:sectPr>
          <w:headerReference r:id="rId3" w:type="default"/>
          <w:footerReference r:id="rId4" w:type="default"/>
          <w:pgSz w:w="11907" w:h="16839"/>
          <w:pgMar w:top="1440" w:right="1487" w:bottom="1440" w:left="1380" w:header="1092" w:footer="1027" w:gutter="0"/>
          <w:cols w:space="720" w:num="1"/>
        </w:sectPr>
      </w:pPr>
    </w:p>
    <w:p w14:paraId="1F1139B2">
      <w:pPr>
        <w:spacing w:line="360" w:lineRule="auto"/>
        <w:jc w:val="center"/>
        <w:rPr>
          <w:rFonts w:ascii="宋体" w:hAnsi="宋体"/>
          <w:color w:val="auto"/>
          <w:sz w:val="32"/>
          <w:highlight w:val="none"/>
        </w:rPr>
      </w:pPr>
      <w:r>
        <w:rPr>
          <w:rFonts w:hint="eastAsia" w:ascii="宋体" w:hAnsi="宋体"/>
          <w:color w:val="auto"/>
          <w:sz w:val="32"/>
          <w:highlight w:val="none"/>
        </w:rPr>
        <w:t>目 录</w:t>
      </w:r>
    </w:p>
    <w:p w14:paraId="5E6EB564">
      <w:pPr>
        <w:pStyle w:val="27"/>
        <w:tabs>
          <w:tab w:val="right" w:leader="dot" w:pos="9240"/>
        </w:tabs>
        <w:rPr>
          <w:color w:val="auto"/>
          <w:highlight w:val="none"/>
        </w:rPr>
      </w:pPr>
      <w:r>
        <w:rPr>
          <w:rFonts w:ascii="宋体" w:hAnsi="宋体"/>
          <w:color w:val="auto"/>
          <w:sz w:val="28"/>
          <w:highlight w:val="none"/>
        </w:rPr>
        <w:fldChar w:fldCharType="begin"/>
      </w:r>
      <w:r>
        <w:rPr>
          <w:rFonts w:ascii="宋体" w:hAnsi="宋体"/>
          <w:color w:val="auto"/>
          <w:sz w:val="28"/>
          <w:highlight w:val="none"/>
        </w:rPr>
        <w:instrText xml:space="preserve">TOC \o "1-1" \h \u </w:instrText>
      </w:r>
      <w:r>
        <w:rPr>
          <w:rFonts w:ascii="宋体" w:hAnsi="宋体"/>
          <w:color w:val="auto"/>
          <w:sz w:val="28"/>
          <w:highlight w:val="none"/>
        </w:rPr>
        <w:fldChar w:fldCharType="separate"/>
      </w:r>
      <w:r>
        <w:rPr>
          <w:rFonts w:ascii="宋体" w:hAnsi="宋体"/>
          <w:color w:val="auto"/>
          <w:highlight w:val="none"/>
        </w:rPr>
        <w:fldChar w:fldCharType="begin"/>
      </w:r>
      <w:r>
        <w:rPr>
          <w:rFonts w:ascii="宋体" w:hAnsi="宋体"/>
          <w:color w:val="auto"/>
          <w:highlight w:val="none"/>
        </w:rPr>
        <w:instrText xml:space="preserve"> HYPERLINK \l _Toc2103 </w:instrText>
      </w:r>
      <w:r>
        <w:rPr>
          <w:rFonts w:ascii="宋体" w:hAnsi="宋体"/>
          <w:color w:val="auto"/>
          <w:highlight w:val="none"/>
        </w:rPr>
        <w:fldChar w:fldCharType="separate"/>
      </w:r>
      <w:r>
        <w:rPr>
          <w:rFonts w:hint="eastAsia" w:ascii="宋体" w:hAnsi="宋体" w:eastAsia="宋体" w:cs="宋体"/>
          <w:bCs/>
          <w:color w:val="auto"/>
          <w:szCs w:val="28"/>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_Toc2103 \h </w:instrText>
      </w:r>
      <w:r>
        <w:rPr>
          <w:color w:val="auto"/>
          <w:highlight w:val="none"/>
        </w:rPr>
        <w:fldChar w:fldCharType="separate"/>
      </w:r>
      <w:r>
        <w:rPr>
          <w:color w:val="auto"/>
          <w:highlight w:val="none"/>
        </w:rPr>
        <w:t>3</w:t>
      </w:r>
      <w:r>
        <w:rPr>
          <w:color w:val="auto"/>
          <w:highlight w:val="none"/>
        </w:rPr>
        <w:fldChar w:fldCharType="end"/>
      </w:r>
      <w:r>
        <w:rPr>
          <w:rFonts w:ascii="宋体" w:hAnsi="宋体"/>
          <w:color w:val="auto"/>
          <w:highlight w:val="none"/>
        </w:rPr>
        <w:fldChar w:fldCharType="end"/>
      </w:r>
    </w:p>
    <w:p w14:paraId="3C1D40DF">
      <w:pPr>
        <w:pStyle w:val="27"/>
        <w:tabs>
          <w:tab w:val="right" w:leader="dot" w:pos="9240"/>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_Toc15530 </w:instrText>
      </w:r>
      <w:r>
        <w:rPr>
          <w:rFonts w:ascii="宋体" w:hAnsi="宋体"/>
          <w:color w:val="auto"/>
          <w:highlight w:val="none"/>
        </w:rPr>
        <w:fldChar w:fldCharType="separate"/>
      </w:r>
      <w:r>
        <w:rPr>
          <w:rFonts w:hint="eastAsia" w:ascii="宋体" w:hAnsi="宋体" w:eastAsia="宋体" w:cs="宋体"/>
          <w:bCs/>
          <w:color w:val="auto"/>
          <w:szCs w:val="28"/>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_Toc15530 \h </w:instrText>
      </w:r>
      <w:r>
        <w:rPr>
          <w:color w:val="auto"/>
          <w:highlight w:val="none"/>
        </w:rPr>
        <w:fldChar w:fldCharType="separate"/>
      </w:r>
      <w:r>
        <w:rPr>
          <w:color w:val="auto"/>
          <w:highlight w:val="none"/>
        </w:rPr>
        <w:t>7</w:t>
      </w:r>
      <w:r>
        <w:rPr>
          <w:color w:val="auto"/>
          <w:highlight w:val="none"/>
        </w:rPr>
        <w:fldChar w:fldCharType="end"/>
      </w:r>
      <w:r>
        <w:rPr>
          <w:rFonts w:ascii="宋体" w:hAnsi="宋体"/>
          <w:color w:val="auto"/>
          <w:highlight w:val="none"/>
        </w:rPr>
        <w:fldChar w:fldCharType="end"/>
      </w:r>
    </w:p>
    <w:p w14:paraId="02D9A3DD">
      <w:pPr>
        <w:pStyle w:val="27"/>
        <w:tabs>
          <w:tab w:val="right" w:leader="dot" w:pos="9240"/>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_Toc19101 </w:instrText>
      </w:r>
      <w:r>
        <w:rPr>
          <w:rFonts w:ascii="宋体" w:hAnsi="宋体"/>
          <w:color w:val="auto"/>
          <w:highlight w:val="none"/>
        </w:rPr>
        <w:fldChar w:fldCharType="separate"/>
      </w:r>
      <w:r>
        <w:rPr>
          <w:rFonts w:hint="eastAsia" w:ascii="宋体" w:hAnsi="宋体" w:eastAsia="宋体" w:cs="宋体"/>
          <w:bCs/>
          <w:color w:val="auto"/>
          <w:szCs w:val="28"/>
          <w:highlight w:val="none"/>
          <w:lang w:val="en-US" w:eastAsia="zh-CN"/>
        </w:rPr>
        <w:t>第三章 合同条款及格式</w:t>
      </w:r>
      <w:r>
        <w:rPr>
          <w:color w:val="auto"/>
          <w:highlight w:val="none"/>
        </w:rPr>
        <w:tab/>
      </w:r>
      <w:r>
        <w:rPr>
          <w:color w:val="auto"/>
          <w:highlight w:val="none"/>
        </w:rPr>
        <w:fldChar w:fldCharType="begin"/>
      </w:r>
      <w:r>
        <w:rPr>
          <w:color w:val="auto"/>
          <w:highlight w:val="none"/>
        </w:rPr>
        <w:instrText xml:space="preserve"> PAGEREF _Toc19101 \h </w:instrText>
      </w:r>
      <w:r>
        <w:rPr>
          <w:color w:val="auto"/>
          <w:highlight w:val="none"/>
        </w:rPr>
        <w:fldChar w:fldCharType="separate"/>
      </w:r>
      <w:r>
        <w:rPr>
          <w:color w:val="auto"/>
          <w:highlight w:val="none"/>
        </w:rPr>
        <w:t>18</w:t>
      </w:r>
      <w:r>
        <w:rPr>
          <w:color w:val="auto"/>
          <w:highlight w:val="none"/>
        </w:rPr>
        <w:fldChar w:fldCharType="end"/>
      </w:r>
      <w:r>
        <w:rPr>
          <w:rFonts w:ascii="宋体" w:hAnsi="宋体"/>
          <w:color w:val="auto"/>
          <w:highlight w:val="none"/>
        </w:rPr>
        <w:fldChar w:fldCharType="end"/>
      </w:r>
    </w:p>
    <w:p w14:paraId="37282C96">
      <w:pPr>
        <w:pStyle w:val="27"/>
        <w:tabs>
          <w:tab w:val="right" w:leader="dot" w:pos="9240"/>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_Toc787 </w:instrText>
      </w:r>
      <w:r>
        <w:rPr>
          <w:rFonts w:ascii="宋体" w:hAnsi="宋体"/>
          <w:color w:val="auto"/>
          <w:highlight w:val="none"/>
        </w:rPr>
        <w:fldChar w:fldCharType="separate"/>
      </w:r>
      <w:r>
        <w:rPr>
          <w:rFonts w:hint="eastAsia" w:ascii="宋体" w:hAnsi="宋体" w:eastAsia="宋体" w:cs="宋体"/>
          <w:bCs/>
          <w:color w:val="auto"/>
          <w:szCs w:val="28"/>
          <w:highlight w:val="none"/>
          <w:lang w:val="en-US" w:eastAsia="zh-CN"/>
        </w:rPr>
        <w:t xml:space="preserve">第四章 </w:t>
      </w:r>
      <w:r>
        <w:rPr>
          <w:rFonts w:hint="eastAsia" w:ascii="宋体" w:hAnsi="宋体" w:eastAsia="宋体" w:cs="宋体"/>
          <w:bCs/>
          <w:color w:val="auto"/>
          <w:szCs w:val="28"/>
          <w:highlight w:val="none"/>
        </w:rPr>
        <w:t>项目需求</w:t>
      </w:r>
      <w:r>
        <w:rPr>
          <w:color w:val="auto"/>
          <w:highlight w:val="none"/>
        </w:rPr>
        <w:tab/>
      </w:r>
      <w:r>
        <w:rPr>
          <w:color w:val="auto"/>
          <w:highlight w:val="none"/>
        </w:rPr>
        <w:fldChar w:fldCharType="begin"/>
      </w:r>
      <w:r>
        <w:rPr>
          <w:color w:val="auto"/>
          <w:highlight w:val="none"/>
        </w:rPr>
        <w:instrText xml:space="preserve"> PAGEREF _Toc787 \h </w:instrText>
      </w:r>
      <w:r>
        <w:rPr>
          <w:color w:val="auto"/>
          <w:highlight w:val="none"/>
        </w:rPr>
        <w:fldChar w:fldCharType="separate"/>
      </w:r>
      <w:r>
        <w:rPr>
          <w:color w:val="auto"/>
          <w:highlight w:val="none"/>
        </w:rPr>
        <w:t>22</w:t>
      </w:r>
      <w:r>
        <w:rPr>
          <w:color w:val="auto"/>
          <w:highlight w:val="none"/>
        </w:rPr>
        <w:fldChar w:fldCharType="end"/>
      </w:r>
      <w:r>
        <w:rPr>
          <w:rFonts w:ascii="宋体" w:hAnsi="宋体"/>
          <w:color w:val="auto"/>
          <w:highlight w:val="none"/>
        </w:rPr>
        <w:fldChar w:fldCharType="end"/>
      </w:r>
    </w:p>
    <w:p w14:paraId="2C7A6FD8">
      <w:pPr>
        <w:pStyle w:val="27"/>
        <w:tabs>
          <w:tab w:val="right" w:leader="dot" w:pos="9240"/>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_Toc17974 </w:instrText>
      </w:r>
      <w:r>
        <w:rPr>
          <w:rFonts w:ascii="宋体" w:hAnsi="宋体"/>
          <w:color w:val="auto"/>
          <w:highlight w:val="none"/>
        </w:rPr>
        <w:fldChar w:fldCharType="separate"/>
      </w:r>
      <w:r>
        <w:rPr>
          <w:rFonts w:hint="eastAsia" w:ascii="宋体" w:hAnsi="宋体" w:eastAsia="宋体" w:cs="宋体"/>
          <w:bCs/>
          <w:color w:val="auto"/>
          <w:szCs w:val="28"/>
          <w:highlight w:val="none"/>
          <w:lang w:val="en-US" w:eastAsia="zh-CN"/>
        </w:rPr>
        <w:t>第五章 评标方法及评标标准</w:t>
      </w:r>
      <w:r>
        <w:rPr>
          <w:color w:val="auto"/>
          <w:highlight w:val="none"/>
        </w:rPr>
        <w:tab/>
      </w:r>
      <w:r>
        <w:rPr>
          <w:color w:val="auto"/>
          <w:highlight w:val="none"/>
        </w:rPr>
        <w:fldChar w:fldCharType="begin"/>
      </w:r>
      <w:r>
        <w:rPr>
          <w:color w:val="auto"/>
          <w:highlight w:val="none"/>
        </w:rPr>
        <w:instrText xml:space="preserve"> PAGEREF _Toc17974 \h </w:instrText>
      </w:r>
      <w:r>
        <w:rPr>
          <w:color w:val="auto"/>
          <w:highlight w:val="none"/>
        </w:rPr>
        <w:fldChar w:fldCharType="separate"/>
      </w:r>
      <w:r>
        <w:rPr>
          <w:color w:val="auto"/>
          <w:highlight w:val="none"/>
        </w:rPr>
        <w:t>26</w:t>
      </w:r>
      <w:r>
        <w:rPr>
          <w:color w:val="auto"/>
          <w:highlight w:val="none"/>
        </w:rPr>
        <w:fldChar w:fldCharType="end"/>
      </w:r>
      <w:r>
        <w:rPr>
          <w:rFonts w:ascii="宋体" w:hAnsi="宋体"/>
          <w:color w:val="auto"/>
          <w:highlight w:val="none"/>
        </w:rPr>
        <w:fldChar w:fldCharType="end"/>
      </w:r>
    </w:p>
    <w:p w14:paraId="73E3E13D">
      <w:pPr>
        <w:pStyle w:val="27"/>
        <w:tabs>
          <w:tab w:val="right" w:leader="dot" w:pos="9240"/>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_Toc15595 </w:instrText>
      </w:r>
      <w:r>
        <w:rPr>
          <w:rFonts w:ascii="宋体" w:hAnsi="宋体"/>
          <w:color w:val="auto"/>
          <w:highlight w:val="none"/>
        </w:rPr>
        <w:fldChar w:fldCharType="separate"/>
      </w:r>
      <w:r>
        <w:rPr>
          <w:rFonts w:hint="eastAsia" w:ascii="宋体" w:hAnsi="宋体" w:eastAsia="宋体" w:cs="宋体"/>
          <w:bCs/>
          <w:color w:val="auto"/>
          <w:szCs w:val="28"/>
          <w:highlight w:val="none"/>
          <w:lang w:val="en-US" w:eastAsia="zh-CN"/>
        </w:rPr>
        <w:t>第六章 投标文件格式</w:t>
      </w:r>
      <w:r>
        <w:rPr>
          <w:color w:val="auto"/>
          <w:highlight w:val="none"/>
        </w:rPr>
        <w:tab/>
      </w:r>
      <w:r>
        <w:rPr>
          <w:color w:val="auto"/>
          <w:highlight w:val="none"/>
        </w:rPr>
        <w:fldChar w:fldCharType="begin"/>
      </w:r>
      <w:r>
        <w:rPr>
          <w:color w:val="auto"/>
          <w:highlight w:val="none"/>
        </w:rPr>
        <w:instrText xml:space="preserve"> PAGEREF _Toc15595 \h </w:instrText>
      </w:r>
      <w:r>
        <w:rPr>
          <w:color w:val="auto"/>
          <w:highlight w:val="none"/>
        </w:rPr>
        <w:fldChar w:fldCharType="separate"/>
      </w:r>
      <w:r>
        <w:rPr>
          <w:color w:val="auto"/>
          <w:highlight w:val="none"/>
        </w:rPr>
        <w:t>29</w:t>
      </w:r>
      <w:r>
        <w:rPr>
          <w:color w:val="auto"/>
          <w:highlight w:val="none"/>
        </w:rPr>
        <w:fldChar w:fldCharType="end"/>
      </w:r>
      <w:r>
        <w:rPr>
          <w:rFonts w:ascii="宋体" w:hAnsi="宋体"/>
          <w:color w:val="auto"/>
          <w:highlight w:val="none"/>
        </w:rPr>
        <w:fldChar w:fldCharType="end"/>
      </w:r>
    </w:p>
    <w:p w14:paraId="2102B42E">
      <w:pPr>
        <w:spacing w:line="360" w:lineRule="auto"/>
        <w:rPr>
          <w:rFonts w:ascii="宋体" w:hAnsi="宋体"/>
          <w:color w:val="auto"/>
          <w:sz w:val="28"/>
          <w:highlight w:val="none"/>
        </w:rPr>
      </w:pPr>
      <w:r>
        <w:rPr>
          <w:rFonts w:ascii="宋体" w:hAnsi="宋体"/>
          <w:color w:val="auto"/>
          <w:highlight w:val="none"/>
        </w:rPr>
        <w:fldChar w:fldCharType="end"/>
      </w:r>
    </w:p>
    <w:p w14:paraId="5BBC7710">
      <w:pPr>
        <w:pStyle w:val="2"/>
        <w:keepNext/>
        <w:keepLines/>
        <w:pageBreakBefore w:val="0"/>
        <w:widowControl w:val="0"/>
        <w:kinsoku/>
        <w:wordWrap/>
        <w:overflowPunct/>
        <w:topLinePunct w:val="0"/>
        <w:autoSpaceDE/>
        <w:autoSpaceDN/>
        <w:bidi w:val="0"/>
        <w:adjustRightInd w:val="0"/>
        <w:snapToGrid w:val="0"/>
        <w:spacing w:before="0" w:after="0" w:line="440" w:lineRule="exact"/>
        <w:jc w:val="center"/>
        <w:textAlignment w:val="auto"/>
        <w:rPr>
          <w:rFonts w:hint="eastAsia" w:ascii="宋体" w:hAnsi="宋体" w:eastAsia="宋体" w:cs="宋体"/>
          <w:b/>
          <w:bCs/>
          <w:color w:val="auto"/>
          <w:sz w:val="28"/>
          <w:szCs w:val="28"/>
          <w:highlight w:val="none"/>
        </w:rPr>
      </w:pPr>
      <w:r>
        <w:rPr>
          <w:rFonts w:hint="eastAsia" w:ascii="宋体" w:hAnsi="宋体"/>
          <w:color w:val="auto"/>
          <w:highlight w:val="none"/>
        </w:rPr>
        <w:br w:type="page" w:clear="all"/>
      </w:r>
      <w:bookmarkStart w:id="0" w:name="_Toc55204177"/>
      <w:bookmarkStart w:id="1" w:name="_Toc7378"/>
      <w:bookmarkStart w:id="2" w:name="_Toc2103"/>
      <w:r>
        <w:rPr>
          <w:rFonts w:hint="eastAsia" w:ascii="宋体" w:hAnsi="宋体" w:eastAsia="宋体" w:cs="宋体"/>
          <w:b/>
          <w:bCs/>
          <w:color w:val="auto"/>
          <w:sz w:val="28"/>
          <w:szCs w:val="28"/>
          <w:highlight w:val="none"/>
        </w:rPr>
        <w:t>第一章 招标公告</w:t>
      </w:r>
      <w:bookmarkEnd w:id="0"/>
      <w:bookmarkEnd w:id="1"/>
      <w:bookmarkEnd w:id="2"/>
    </w:p>
    <w:p w14:paraId="567909F9">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00" w:lineRule="auto"/>
        <w:ind w:firstLine="422"/>
        <w:textAlignment w:val="auto"/>
        <w:rPr>
          <w:rFonts w:ascii="宋体" w:hAnsi="宋体" w:cs="宋体"/>
          <w:b/>
          <w:bCs/>
          <w:color w:val="auto"/>
          <w:highlight w:val="none"/>
        </w:rPr>
      </w:pPr>
      <w:r>
        <w:rPr>
          <w:rFonts w:hint="eastAsia" w:ascii="宋体" w:hAnsi="宋体" w:cs="宋体"/>
          <w:b/>
          <w:bCs/>
          <w:color w:val="auto"/>
          <w:highlight w:val="none"/>
        </w:rPr>
        <w:t>项目概况</w:t>
      </w:r>
    </w:p>
    <w:p w14:paraId="570450D5">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00" w:lineRule="auto"/>
        <w:ind w:firstLine="420"/>
        <w:textAlignment w:val="auto"/>
        <w:rPr>
          <w:rFonts w:ascii="宋体" w:hAnsi="宋体" w:cs="宋体"/>
          <w:color w:val="auto"/>
          <w:highlight w:val="none"/>
        </w:rPr>
      </w:pPr>
      <w:r>
        <w:rPr>
          <w:rFonts w:hint="eastAsia" w:ascii="宋体" w:hAnsi="宋体" w:cs="宋体"/>
          <w:color w:val="auto"/>
          <w:highlight w:val="none"/>
          <w:u w:val="single"/>
          <w:lang w:eastAsia="zh-CN"/>
        </w:rPr>
        <w:t>仪征市中医院光学相干断层扫描仪采购项目（</w:t>
      </w:r>
      <w:r>
        <w:rPr>
          <w:rFonts w:hint="eastAsia" w:ascii="宋体" w:hAnsi="宋体" w:cs="宋体"/>
          <w:color w:val="auto"/>
          <w:highlight w:val="none"/>
          <w:u w:val="single"/>
          <w:lang w:val="en-US" w:eastAsia="zh-CN"/>
        </w:rPr>
        <w:t>JSZC-321081-JITC-G2025-0377</w:t>
      </w:r>
      <w:r>
        <w:rPr>
          <w:rFonts w:hint="eastAsia" w:ascii="宋体" w:hAnsi="宋体" w:cs="宋体"/>
          <w:color w:val="auto"/>
          <w:highlight w:val="none"/>
          <w:u w:val="single"/>
          <w:lang w:eastAsia="zh-CN"/>
        </w:rPr>
        <w:t>）</w:t>
      </w:r>
      <w:r>
        <w:rPr>
          <w:rFonts w:hint="eastAsia" w:ascii="宋体" w:hAnsi="宋体" w:cs="宋体"/>
          <w:color w:val="auto"/>
          <w:highlight w:val="none"/>
        </w:rPr>
        <w:t>招标项目的潜在投标人可在</w:t>
      </w:r>
      <w:r>
        <w:rPr>
          <w:rFonts w:hint="eastAsia" w:ascii="宋体" w:hAnsi="宋体" w:cs="宋体"/>
          <w:color w:val="auto"/>
          <w:highlight w:val="none"/>
          <w:u w:val="single"/>
        </w:rPr>
        <w:t xml:space="preserve"> “扬州市政府采购网”</w:t>
      </w:r>
      <w:r>
        <w:rPr>
          <w:rFonts w:hint="eastAsia" w:ascii="宋体" w:hAnsi="宋体" w:cs="宋体"/>
          <w:color w:val="auto"/>
          <w:highlight w:val="none"/>
          <w:u w:val="single"/>
          <w:lang w:eastAsia="zh-CN"/>
        </w:rPr>
        <w:t>、</w:t>
      </w:r>
      <w:r>
        <w:rPr>
          <w:rFonts w:hint="eastAsia" w:ascii="宋体" w:hAnsi="宋体" w:cs="宋体"/>
          <w:color w:val="auto"/>
          <w:highlight w:val="none"/>
          <w:u w:val="single"/>
        </w:rPr>
        <w:t>“江苏省政府采购网”自行免费下载</w:t>
      </w:r>
      <w:r>
        <w:rPr>
          <w:rFonts w:hint="eastAsia" w:ascii="宋体" w:hAnsi="宋体" w:cs="宋体"/>
          <w:color w:val="auto"/>
          <w:highlight w:val="none"/>
        </w:rPr>
        <w:t>采购文件，并于</w:t>
      </w:r>
      <w:bookmarkStart w:id="3" w:name="XMTBJSR_1"/>
      <w:r>
        <w:rPr>
          <w:rFonts w:hint="eastAsia" w:ascii="宋体" w:hAnsi="宋体" w:cs="宋体"/>
          <w:color w:val="auto"/>
          <w:highlight w:val="none"/>
          <w:u w:val="single"/>
        </w:rPr>
        <w:t>2025年</w:t>
      </w:r>
      <w:r>
        <w:rPr>
          <w:rFonts w:hint="eastAsia" w:ascii="宋体" w:hAnsi="宋体" w:cs="宋体"/>
          <w:color w:val="auto"/>
          <w:highlight w:val="none"/>
          <w:u w:val="single"/>
          <w:lang w:val="en-US" w:eastAsia="zh-CN"/>
        </w:rPr>
        <w:t>12</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17</w:t>
      </w:r>
      <w:r>
        <w:rPr>
          <w:rFonts w:hint="eastAsia" w:ascii="宋体" w:hAnsi="宋体" w:cs="宋体"/>
          <w:color w:val="auto"/>
          <w:highlight w:val="none"/>
          <w:u w:val="single"/>
        </w:rPr>
        <w:t>日</w:t>
      </w:r>
      <w:r>
        <w:rPr>
          <w:rFonts w:hint="eastAsia" w:ascii="宋体" w:hAnsi="宋体" w:cs="宋体"/>
          <w:color w:val="auto"/>
          <w:highlight w:val="none"/>
          <w:u w:val="single"/>
          <w:lang w:val="en-US" w:eastAsia="zh-CN"/>
        </w:rPr>
        <w:t>下</w:t>
      </w:r>
      <w:r>
        <w:rPr>
          <w:rFonts w:hint="eastAsia" w:ascii="宋体" w:hAnsi="宋体" w:cs="宋体"/>
          <w:color w:val="auto"/>
          <w:highlight w:val="none"/>
          <w:u w:val="single"/>
        </w:rPr>
        <w:t>午</w:t>
      </w:r>
      <w:r>
        <w:rPr>
          <w:rFonts w:hint="eastAsia" w:ascii="宋体" w:hAnsi="宋体" w:cs="宋体"/>
          <w:color w:val="auto"/>
          <w:highlight w:val="none"/>
          <w:u w:val="single"/>
          <w:lang w:val="en-US" w:eastAsia="zh-CN"/>
        </w:rPr>
        <w:t>15</w:t>
      </w:r>
      <w:r>
        <w:rPr>
          <w:rFonts w:hint="eastAsia" w:ascii="宋体" w:hAnsi="宋体" w:cs="宋体"/>
          <w:color w:val="auto"/>
          <w:highlight w:val="none"/>
          <w:u w:val="single"/>
        </w:rPr>
        <w:t>时</w:t>
      </w:r>
      <w:r>
        <w:rPr>
          <w:rFonts w:hint="eastAsia" w:ascii="宋体" w:hAnsi="宋体" w:cs="宋体"/>
          <w:color w:val="auto"/>
          <w:highlight w:val="none"/>
          <w:u w:val="single"/>
          <w:lang w:val="en-US" w:eastAsia="zh-CN"/>
        </w:rPr>
        <w:t>00</w:t>
      </w:r>
      <w:r>
        <w:rPr>
          <w:rFonts w:hint="eastAsia" w:ascii="宋体" w:hAnsi="宋体" w:cs="宋体"/>
          <w:color w:val="auto"/>
          <w:highlight w:val="none"/>
          <w:u w:val="single"/>
        </w:rPr>
        <w:t>分</w:t>
      </w:r>
      <w:bookmarkEnd w:id="3"/>
      <w:r>
        <w:rPr>
          <w:rFonts w:hint="eastAsia" w:ascii="宋体" w:hAnsi="宋体" w:cs="宋体"/>
          <w:color w:val="auto"/>
          <w:highlight w:val="none"/>
        </w:rPr>
        <w:t>（北京时间）</w:t>
      </w:r>
      <w:r>
        <w:rPr>
          <w:rFonts w:hint="eastAsia" w:ascii="宋体" w:hAnsi="宋体" w:cs="宋体"/>
          <w:bCs/>
          <w:color w:val="auto"/>
          <w:highlight w:val="none"/>
        </w:rPr>
        <w:t>前递交投标文件</w:t>
      </w:r>
      <w:r>
        <w:rPr>
          <w:rFonts w:hint="eastAsia" w:ascii="宋体" w:hAnsi="宋体" w:cs="宋体"/>
          <w:color w:val="auto"/>
          <w:highlight w:val="none"/>
        </w:rPr>
        <w:t>。</w:t>
      </w:r>
    </w:p>
    <w:p w14:paraId="75B09744">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color w:val="auto"/>
          <w:highlight w:val="none"/>
        </w:rPr>
      </w:pPr>
      <w:bookmarkStart w:id="4" w:name="_Toc35393790"/>
      <w:bookmarkStart w:id="5" w:name="_Toc28359079"/>
      <w:bookmarkStart w:id="6" w:name="_Toc38985263"/>
      <w:bookmarkStart w:id="7" w:name="_Toc28359002"/>
      <w:bookmarkStart w:id="8" w:name="_Toc35393621"/>
      <w:bookmarkStart w:id="9" w:name="_Hlk24379207"/>
      <w:r>
        <w:rPr>
          <w:rFonts w:hint="eastAsia" w:ascii="宋体" w:hAnsi="宋体" w:cs="宋体"/>
          <w:b/>
          <w:bCs/>
          <w:color w:val="auto"/>
          <w:highlight w:val="none"/>
        </w:rPr>
        <w:t>一、项目基本情况</w:t>
      </w:r>
      <w:bookmarkEnd w:id="4"/>
      <w:bookmarkEnd w:id="5"/>
      <w:bookmarkEnd w:id="6"/>
      <w:bookmarkEnd w:id="7"/>
      <w:bookmarkEnd w:id="8"/>
    </w:p>
    <w:p w14:paraId="4554E3C3">
      <w:pPr>
        <w:pageBreakBefore w:val="0"/>
        <w:kinsoku/>
        <w:wordWrap/>
        <w:overflowPunct/>
        <w:topLinePunct w:val="0"/>
        <w:autoSpaceDE/>
        <w:autoSpaceDN/>
        <w:bidi w:val="0"/>
        <w:adjustRightInd/>
        <w:snapToGrid/>
        <w:spacing w:line="300" w:lineRule="auto"/>
        <w:ind w:firstLine="420"/>
        <w:textAlignment w:val="auto"/>
        <w:rPr>
          <w:rFonts w:hint="eastAsia" w:ascii="宋体" w:hAnsi="宋体" w:eastAsia="宋体" w:cs="宋体"/>
          <w:color w:val="auto"/>
          <w:szCs w:val="21"/>
          <w:highlight w:val="none"/>
          <w:lang w:eastAsia="zh-CN"/>
        </w:rPr>
      </w:pPr>
      <w:r>
        <w:rPr>
          <w:rFonts w:hint="eastAsia" w:ascii="宋体" w:hAnsi="宋体" w:cs="宋体"/>
          <w:color w:val="auto"/>
          <w:highlight w:val="none"/>
        </w:rPr>
        <w:t>1.项目编号：</w:t>
      </w:r>
      <w:r>
        <w:rPr>
          <w:rFonts w:hint="eastAsia" w:ascii="宋体" w:hAnsi="宋体" w:cs="宋体"/>
          <w:color w:val="auto"/>
          <w:szCs w:val="21"/>
          <w:highlight w:val="none"/>
          <w:u w:val="single"/>
          <w:lang w:val="en-US" w:eastAsia="zh-CN"/>
        </w:rPr>
        <w:t>JSZC-321081-JITC-G2025-0377</w:t>
      </w:r>
    </w:p>
    <w:p w14:paraId="6E690E7F">
      <w:pPr>
        <w:pageBreakBefore w:val="0"/>
        <w:kinsoku/>
        <w:wordWrap/>
        <w:overflowPunct/>
        <w:topLinePunct w:val="0"/>
        <w:autoSpaceDE/>
        <w:autoSpaceDN/>
        <w:bidi w:val="0"/>
        <w:adjustRightInd/>
        <w:snapToGrid/>
        <w:spacing w:line="300" w:lineRule="auto"/>
        <w:ind w:firstLine="42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2.项目名称：</w:t>
      </w:r>
      <w:r>
        <w:rPr>
          <w:rFonts w:hint="eastAsia" w:ascii="宋体" w:hAnsi="宋体" w:cs="宋体"/>
          <w:color w:val="auto"/>
          <w:highlight w:val="none"/>
          <w:lang w:eastAsia="zh-CN"/>
        </w:rPr>
        <w:t xml:space="preserve">仪征市中医院光学相干断层扫描仪采购项目  </w:t>
      </w:r>
    </w:p>
    <w:bookmarkEnd w:id="9"/>
    <w:p w14:paraId="5AC25128">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color w:val="auto"/>
          <w:highlight w:val="none"/>
        </w:rPr>
      </w:pPr>
      <w:r>
        <w:rPr>
          <w:rFonts w:hint="eastAsia" w:ascii="宋体" w:hAnsi="宋体" w:cs="宋体"/>
          <w:color w:val="auto"/>
          <w:highlight w:val="none"/>
        </w:rPr>
        <w:t>3.预算金额：</w:t>
      </w:r>
      <w:r>
        <w:rPr>
          <w:rFonts w:hint="eastAsia" w:ascii="宋体" w:hAnsi="宋体" w:cs="宋体"/>
          <w:color w:val="auto"/>
          <w:highlight w:val="none"/>
          <w:lang w:val="en-US" w:eastAsia="zh-CN"/>
        </w:rPr>
        <w:t>150</w:t>
      </w:r>
      <w:r>
        <w:rPr>
          <w:rFonts w:hint="eastAsia" w:ascii="宋体" w:hAnsi="宋体" w:cs="宋体"/>
          <w:color w:val="auto"/>
          <w:highlight w:val="none"/>
        </w:rPr>
        <w:t>.00</w:t>
      </w:r>
      <w:r>
        <w:rPr>
          <w:rFonts w:hint="eastAsia" w:ascii="宋体" w:hAnsi="宋体" w:cs="宋体"/>
          <w:color w:val="auto"/>
          <w:highlight w:val="none"/>
          <w:lang w:val="en-US" w:eastAsia="zh-CN"/>
        </w:rPr>
        <w:t>0000</w:t>
      </w:r>
      <w:r>
        <w:rPr>
          <w:rFonts w:hint="eastAsia" w:ascii="宋体" w:hAnsi="宋体" w:cs="宋体"/>
          <w:color w:val="auto"/>
          <w:highlight w:val="none"/>
        </w:rPr>
        <w:t>万元</w:t>
      </w:r>
    </w:p>
    <w:p w14:paraId="0ACA7D0E">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color w:val="auto"/>
          <w:highlight w:val="none"/>
        </w:rPr>
      </w:pPr>
      <w:bookmarkStart w:id="10" w:name="_Toc28359003"/>
      <w:bookmarkStart w:id="11" w:name="_Toc35393791"/>
      <w:bookmarkStart w:id="12" w:name="_Toc35393622"/>
      <w:bookmarkStart w:id="13" w:name="_Toc38985264"/>
      <w:bookmarkStart w:id="14" w:name="_Toc28359080"/>
      <w:r>
        <w:rPr>
          <w:rFonts w:hint="eastAsia" w:ascii="宋体" w:hAnsi="宋体" w:cs="宋体"/>
          <w:color w:val="auto"/>
          <w:highlight w:val="none"/>
        </w:rPr>
        <w:t>4.最高限价</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如有</w:t>
      </w:r>
      <w:r>
        <w:rPr>
          <w:rFonts w:hint="eastAsia" w:ascii="宋体" w:hAnsi="宋体" w:cs="宋体"/>
          <w:color w:val="auto"/>
          <w:highlight w:val="none"/>
          <w:lang w:eastAsia="zh-CN"/>
        </w:rPr>
        <w:t>）</w:t>
      </w:r>
      <w:r>
        <w:rPr>
          <w:rFonts w:hint="eastAsia" w:ascii="宋体" w:hAnsi="宋体" w:cs="宋体"/>
          <w:color w:val="auto"/>
          <w:highlight w:val="none"/>
        </w:rPr>
        <w:t>：</w:t>
      </w:r>
      <w:r>
        <w:rPr>
          <w:rFonts w:hint="eastAsia" w:ascii="宋体" w:hAnsi="宋体" w:cs="宋体"/>
          <w:color w:val="auto"/>
          <w:highlight w:val="none"/>
          <w:lang w:val="en-US" w:eastAsia="zh-CN"/>
        </w:rPr>
        <w:t>150</w:t>
      </w:r>
      <w:r>
        <w:rPr>
          <w:rFonts w:hint="eastAsia" w:ascii="宋体" w:hAnsi="宋体" w:cs="宋体"/>
          <w:color w:val="auto"/>
          <w:highlight w:val="none"/>
        </w:rPr>
        <w:t>.00</w:t>
      </w:r>
      <w:r>
        <w:rPr>
          <w:rFonts w:hint="eastAsia" w:ascii="宋体" w:hAnsi="宋体" w:cs="宋体"/>
          <w:color w:val="auto"/>
          <w:highlight w:val="none"/>
          <w:lang w:val="en-US" w:eastAsia="zh-CN"/>
        </w:rPr>
        <w:t>0000</w:t>
      </w:r>
      <w:r>
        <w:rPr>
          <w:rFonts w:ascii="宋体" w:hAnsi="宋体" w:cs="宋体"/>
          <w:color w:val="auto"/>
          <w:highlight w:val="none"/>
        </w:rPr>
        <w:t>万元</w:t>
      </w:r>
    </w:p>
    <w:p w14:paraId="501C183A">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color w:val="auto"/>
          <w:highlight w:val="none"/>
        </w:rPr>
      </w:pPr>
      <w:r>
        <w:rPr>
          <w:rFonts w:hint="eastAsia" w:ascii="宋体" w:hAnsi="宋体" w:cs="宋体"/>
          <w:color w:val="auto"/>
          <w:highlight w:val="none"/>
        </w:rPr>
        <w:t>5.采购需求：</w:t>
      </w:r>
    </w:p>
    <w:tbl>
      <w:tblPr>
        <w:tblStyle w:val="3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01"/>
        <w:gridCol w:w="2032"/>
        <w:gridCol w:w="944"/>
        <w:gridCol w:w="1416"/>
        <w:gridCol w:w="2366"/>
        <w:gridCol w:w="1416"/>
        <w:gridCol w:w="681"/>
      </w:tblGrid>
      <w:tr w14:paraId="4D01E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318" w:type="pct"/>
            <w:noWrap w:val="0"/>
            <w:tcMar>
              <w:top w:w="0" w:type="dxa"/>
              <w:left w:w="108" w:type="dxa"/>
              <w:bottom w:w="0" w:type="dxa"/>
              <w:right w:w="108" w:type="dxa"/>
            </w:tcMar>
            <w:vAlign w:val="center"/>
          </w:tcPr>
          <w:p w14:paraId="0D3F565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Cs w:val="21"/>
                <w:highlight w:val="none"/>
              </w:rPr>
            </w:pPr>
            <w:r>
              <w:rPr>
                <w:rFonts w:ascii="宋体" w:hAnsi="宋体" w:cs="宋体"/>
                <w:color w:val="auto"/>
                <w:szCs w:val="21"/>
                <w:highlight w:val="none"/>
              </w:rPr>
              <w:t>包号</w:t>
            </w:r>
          </w:p>
        </w:tc>
        <w:tc>
          <w:tcPr>
            <w:tcW w:w="1074" w:type="pct"/>
            <w:noWrap w:val="0"/>
            <w:tcMar>
              <w:top w:w="0" w:type="dxa"/>
              <w:left w:w="108" w:type="dxa"/>
              <w:bottom w:w="0" w:type="dxa"/>
              <w:right w:w="108" w:type="dxa"/>
            </w:tcMar>
            <w:vAlign w:val="center"/>
          </w:tcPr>
          <w:p w14:paraId="62E1B9A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Cs w:val="21"/>
                <w:highlight w:val="none"/>
              </w:rPr>
            </w:pPr>
            <w:r>
              <w:rPr>
                <w:rFonts w:hint="eastAsia" w:ascii="宋体" w:hAnsi="宋体" w:cs="宋体"/>
                <w:color w:val="auto"/>
                <w:szCs w:val="21"/>
                <w:highlight w:val="none"/>
                <w:lang w:val="en-US" w:eastAsia="zh-CN"/>
              </w:rPr>
              <w:t>标的</w:t>
            </w:r>
            <w:r>
              <w:rPr>
                <w:rFonts w:ascii="宋体" w:hAnsi="宋体" w:cs="宋体"/>
                <w:color w:val="auto"/>
                <w:szCs w:val="21"/>
                <w:highlight w:val="none"/>
              </w:rPr>
              <w:t>名称</w:t>
            </w:r>
          </w:p>
        </w:tc>
        <w:tc>
          <w:tcPr>
            <w:tcW w:w="499" w:type="pct"/>
            <w:noWrap w:val="0"/>
            <w:tcMar>
              <w:top w:w="0" w:type="dxa"/>
              <w:left w:w="108" w:type="dxa"/>
              <w:bottom w:w="0" w:type="dxa"/>
              <w:right w:w="108" w:type="dxa"/>
            </w:tcMar>
            <w:vAlign w:val="center"/>
          </w:tcPr>
          <w:p w14:paraId="2F58E7D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Cs w:val="21"/>
                <w:highlight w:val="none"/>
              </w:rPr>
            </w:pPr>
            <w:r>
              <w:rPr>
                <w:rFonts w:ascii="宋体" w:hAnsi="宋体" w:cs="宋体"/>
                <w:color w:val="auto"/>
                <w:szCs w:val="21"/>
                <w:highlight w:val="none"/>
              </w:rPr>
              <w:t>数量</w:t>
            </w:r>
          </w:p>
        </w:tc>
        <w:tc>
          <w:tcPr>
            <w:tcW w:w="748" w:type="pct"/>
            <w:noWrap w:val="0"/>
            <w:tcMar>
              <w:top w:w="0" w:type="dxa"/>
              <w:left w:w="108" w:type="dxa"/>
              <w:bottom w:w="0" w:type="dxa"/>
              <w:right w:w="108" w:type="dxa"/>
            </w:tcMar>
            <w:vAlign w:val="center"/>
          </w:tcPr>
          <w:p w14:paraId="442639E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Cs w:val="21"/>
                <w:highlight w:val="none"/>
              </w:rPr>
            </w:pPr>
            <w:r>
              <w:rPr>
                <w:rFonts w:ascii="宋体" w:hAnsi="宋体" w:cs="宋体"/>
                <w:color w:val="auto"/>
                <w:szCs w:val="21"/>
                <w:highlight w:val="none"/>
              </w:rPr>
              <w:t>预算金额（万元）</w:t>
            </w:r>
          </w:p>
        </w:tc>
        <w:tc>
          <w:tcPr>
            <w:tcW w:w="1250" w:type="pct"/>
            <w:noWrap w:val="0"/>
            <w:vAlign w:val="center"/>
          </w:tcPr>
          <w:p w14:paraId="7BC8FFF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color w:val="auto"/>
                <w:highlight w:val="none"/>
              </w:rPr>
            </w:pPr>
            <w:r>
              <w:rPr>
                <w:rFonts w:hint="eastAsia" w:ascii="宋体" w:hAnsi="宋体" w:cs="宋体"/>
                <w:color w:val="auto"/>
                <w:highlight w:val="none"/>
              </w:rPr>
              <w:t>最高限价</w:t>
            </w:r>
          </w:p>
          <w:p w14:paraId="00376D4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color w:val="auto"/>
                <w:szCs w:val="21"/>
                <w:highlight w:val="none"/>
              </w:rPr>
            </w:pPr>
            <w:r>
              <w:rPr>
                <w:rFonts w:hint="eastAsia" w:ascii="宋体" w:hAnsi="宋体" w:cs="宋体"/>
                <w:color w:val="auto"/>
                <w:highlight w:val="none"/>
              </w:rPr>
              <w:t>（万元）</w:t>
            </w:r>
          </w:p>
        </w:tc>
        <w:tc>
          <w:tcPr>
            <w:tcW w:w="748" w:type="pct"/>
            <w:noWrap w:val="0"/>
            <w:tcMar>
              <w:top w:w="0" w:type="dxa"/>
              <w:left w:w="108" w:type="dxa"/>
              <w:bottom w:w="0" w:type="dxa"/>
              <w:right w:w="108" w:type="dxa"/>
            </w:tcMar>
            <w:vAlign w:val="center"/>
          </w:tcPr>
          <w:p w14:paraId="136C5E8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Cs w:val="21"/>
                <w:highlight w:val="none"/>
              </w:rPr>
            </w:pPr>
            <w:r>
              <w:rPr>
                <w:rFonts w:ascii="宋体" w:hAnsi="宋体" w:cs="宋体"/>
                <w:color w:val="auto"/>
                <w:szCs w:val="21"/>
                <w:highlight w:val="none"/>
              </w:rPr>
              <w:t>是否接受进口产品</w:t>
            </w:r>
          </w:p>
        </w:tc>
        <w:tc>
          <w:tcPr>
            <w:tcW w:w="360" w:type="pct"/>
            <w:noWrap w:val="0"/>
            <w:vAlign w:val="center"/>
          </w:tcPr>
          <w:p w14:paraId="6CAD185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备注</w:t>
            </w:r>
          </w:p>
        </w:tc>
      </w:tr>
      <w:tr w14:paraId="5A9C4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18" w:type="pct"/>
            <w:noWrap w:val="0"/>
            <w:tcMar>
              <w:top w:w="0" w:type="dxa"/>
              <w:left w:w="108" w:type="dxa"/>
              <w:bottom w:w="0" w:type="dxa"/>
              <w:right w:w="108" w:type="dxa"/>
            </w:tcMar>
            <w:vAlign w:val="center"/>
          </w:tcPr>
          <w:p w14:paraId="37295B32">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highlight w:val="none"/>
              </w:rPr>
            </w:pPr>
            <w:r>
              <w:rPr>
                <w:rFonts w:ascii="宋体" w:hAnsi="宋体" w:cs="宋体"/>
                <w:color w:val="auto"/>
                <w:highlight w:val="none"/>
              </w:rPr>
              <w:t>1</w:t>
            </w:r>
          </w:p>
        </w:tc>
        <w:tc>
          <w:tcPr>
            <w:tcW w:w="1074" w:type="pct"/>
            <w:noWrap w:val="0"/>
            <w:tcMar>
              <w:top w:w="0" w:type="dxa"/>
              <w:left w:w="108" w:type="dxa"/>
              <w:bottom w:w="0" w:type="dxa"/>
              <w:right w:w="108" w:type="dxa"/>
            </w:tcMar>
            <w:vAlign w:val="center"/>
          </w:tcPr>
          <w:p w14:paraId="406B75C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光学相干断层扫描仪</w:t>
            </w:r>
          </w:p>
        </w:tc>
        <w:tc>
          <w:tcPr>
            <w:tcW w:w="499" w:type="pct"/>
            <w:noWrap w:val="0"/>
            <w:tcMar>
              <w:top w:w="0" w:type="dxa"/>
              <w:left w:w="108" w:type="dxa"/>
              <w:bottom w:w="0" w:type="dxa"/>
              <w:right w:w="108" w:type="dxa"/>
            </w:tcMar>
            <w:vAlign w:val="center"/>
          </w:tcPr>
          <w:p w14:paraId="6248474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highlight w:val="none"/>
              </w:rPr>
            </w:pPr>
            <w:r>
              <w:rPr>
                <w:rFonts w:hint="eastAsia" w:ascii="宋体" w:hAnsi="宋体" w:cs="宋体"/>
                <w:color w:val="auto"/>
                <w:highlight w:val="none"/>
              </w:rPr>
              <w:t>1套</w:t>
            </w:r>
          </w:p>
        </w:tc>
        <w:tc>
          <w:tcPr>
            <w:tcW w:w="748" w:type="pct"/>
            <w:noWrap w:val="0"/>
            <w:tcMar>
              <w:top w:w="0" w:type="dxa"/>
              <w:left w:w="108" w:type="dxa"/>
              <w:bottom w:w="0" w:type="dxa"/>
              <w:right w:w="108" w:type="dxa"/>
            </w:tcMar>
            <w:vAlign w:val="center"/>
          </w:tcPr>
          <w:p w14:paraId="180CF26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150</w:t>
            </w:r>
          </w:p>
        </w:tc>
        <w:tc>
          <w:tcPr>
            <w:tcW w:w="1250" w:type="pct"/>
            <w:noWrap w:val="0"/>
            <w:vAlign w:val="center"/>
          </w:tcPr>
          <w:p w14:paraId="2BA4243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highlight w:val="none"/>
              </w:rPr>
            </w:pPr>
            <w:r>
              <w:rPr>
                <w:rFonts w:hint="eastAsia" w:ascii="宋体" w:hAnsi="宋体" w:cs="宋体"/>
                <w:color w:val="auto"/>
                <w:highlight w:val="none"/>
                <w:lang w:val="en-US" w:eastAsia="zh-CN"/>
              </w:rPr>
              <w:t>150</w:t>
            </w:r>
          </w:p>
        </w:tc>
        <w:tc>
          <w:tcPr>
            <w:tcW w:w="748" w:type="pct"/>
            <w:noWrap w:val="0"/>
            <w:tcMar>
              <w:top w:w="0" w:type="dxa"/>
              <w:left w:w="108" w:type="dxa"/>
              <w:bottom w:w="0" w:type="dxa"/>
              <w:right w:w="108" w:type="dxa"/>
            </w:tcMar>
            <w:vAlign w:val="center"/>
          </w:tcPr>
          <w:p w14:paraId="029470F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highlight w:val="none"/>
              </w:rPr>
            </w:pPr>
            <w:r>
              <w:rPr>
                <w:rFonts w:hint="eastAsia" w:ascii="宋体" w:hAnsi="宋体" w:cs="宋体"/>
                <w:color w:val="auto"/>
                <w:highlight w:val="none"/>
              </w:rPr>
              <w:t>不接受</w:t>
            </w:r>
          </w:p>
        </w:tc>
        <w:tc>
          <w:tcPr>
            <w:tcW w:w="360" w:type="pct"/>
            <w:noWrap w:val="0"/>
            <w:vAlign w:val="center"/>
          </w:tcPr>
          <w:p w14:paraId="2CD039E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highlight w:val="none"/>
              </w:rPr>
            </w:pPr>
            <w:r>
              <w:rPr>
                <w:rFonts w:hint="eastAsia" w:ascii="宋体" w:hAnsi="宋体" w:cs="宋体"/>
                <w:color w:val="auto"/>
                <w:highlight w:val="none"/>
              </w:rPr>
              <w:t>/</w:t>
            </w:r>
          </w:p>
        </w:tc>
      </w:tr>
    </w:tbl>
    <w:p w14:paraId="1A9F27D2">
      <w:pPr>
        <w:pageBreakBefore w:val="0"/>
        <w:kinsoku/>
        <w:wordWrap/>
        <w:overflowPunct/>
        <w:topLinePunct w:val="0"/>
        <w:autoSpaceDE/>
        <w:autoSpaceDN/>
        <w:bidi w:val="0"/>
        <w:adjustRightInd/>
        <w:snapToGrid/>
        <w:spacing w:line="300" w:lineRule="auto"/>
        <w:ind w:firstLine="420"/>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rPr>
        <w:t>6.合同履行期限：</w:t>
      </w:r>
      <w:r>
        <w:rPr>
          <w:rFonts w:hint="eastAsia" w:ascii="宋体" w:hAnsi="宋体" w:cs="宋体"/>
          <w:color w:val="auto"/>
          <w:highlight w:val="none"/>
          <w:lang w:val="en-US" w:eastAsia="zh-CN"/>
        </w:rPr>
        <w:t>采购人订货通知发出后，</w:t>
      </w:r>
      <w:r>
        <w:rPr>
          <w:rFonts w:hint="eastAsia" w:ascii="宋体" w:hAnsi="宋体" w:cs="宋体"/>
          <w:color w:val="auto"/>
          <w:highlight w:val="none"/>
          <w:u w:val="single"/>
          <w:lang w:val="en-US" w:eastAsia="zh-CN"/>
        </w:rPr>
        <w:t>30个工作日</w:t>
      </w:r>
      <w:r>
        <w:rPr>
          <w:rFonts w:hint="eastAsia" w:ascii="宋体" w:hAnsi="宋体" w:cs="宋体"/>
          <w:color w:val="auto"/>
          <w:highlight w:val="none"/>
          <w:lang w:val="en-US" w:eastAsia="zh-CN"/>
        </w:rPr>
        <w:t>内将货物送至采购人指定地点，验收合格并交付采购人使用，免费质保期</w:t>
      </w:r>
      <w:r>
        <w:rPr>
          <w:rFonts w:hint="eastAsia" w:ascii="宋体" w:hAnsi="宋体" w:cs="宋体"/>
          <w:color w:val="auto"/>
          <w:highlight w:val="none"/>
          <w:u w:val="single"/>
          <w:lang w:val="en-US" w:eastAsia="zh-CN"/>
        </w:rPr>
        <w:t xml:space="preserve"> 5 </w:t>
      </w:r>
      <w:r>
        <w:rPr>
          <w:rFonts w:hint="eastAsia" w:ascii="宋体" w:hAnsi="宋体" w:cs="宋体"/>
          <w:color w:val="auto"/>
          <w:highlight w:val="none"/>
          <w:lang w:val="en-US" w:eastAsia="zh-CN"/>
        </w:rPr>
        <w:t>年。</w:t>
      </w:r>
    </w:p>
    <w:p w14:paraId="51B4AAF3">
      <w:pPr>
        <w:pageBreakBefore w:val="0"/>
        <w:kinsoku/>
        <w:wordWrap/>
        <w:overflowPunct/>
        <w:topLinePunct w:val="0"/>
        <w:autoSpaceDE/>
        <w:autoSpaceDN/>
        <w:bidi w:val="0"/>
        <w:adjustRightInd/>
        <w:snapToGrid/>
        <w:spacing w:line="300" w:lineRule="auto"/>
        <w:ind w:firstLine="420"/>
        <w:textAlignment w:val="auto"/>
        <w:rPr>
          <w:rFonts w:ascii="宋体" w:hAnsi="宋体" w:cs="宋体"/>
          <w:color w:val="auto"/>
          <w:highlight w:val="none"/>
        </w:rPr>
      </w:pPr>
      <w:r>
        <w:rPr>
          <w:rFonts w:hint="eastAsia" w:ascii="宋体" w:hAnsi="宋体" w:cs="宋体"/>
          <w:color w:val="auto"/>
          <w:highlight w:val="none"/>
        </w:rPr>
        <w:t>7.本项目(是/否)接受联合体投标:否。</w:t>
      </w:r>
    </w:p>
    <w:p w14:paraId="1AB0216F">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color w:val="auto"/>
          <w:highlight w:val="none"/>
        </w:rPr>
      </w:pPr>
      <w:r>
        <w:rPr>
          <w:rFonts w:hint="eastAsia" w:ascii="宋体" w:hAnsi="宋体" w:cs="宋体"/>
          <w:b/>
          <w:bCs/>
          <w:color w:val="auto"/>
          <w:highlight w:val="none"/>
        </w:rPr>
        <w:t>二、申请人的资格要求：</w:t>
      </w:r>
      <w:bookmarkEnd w:id="10"/>
      <w:bookmarkEnd w:id="11"/>
      <w:bookmarkEnd w:id="12"/>
      <w:bookmarkEnd w:id="13"/>
      <w:bookmarkEnd w:id="14"/>
    </w:p>
    <w:p w14:paraId="36399BEF">
      <w:pPr>
        <w:pageBreakBefore w:val="0"/>
        <w:kinsoku/>
        <w:wordWrap/>
        <w:overflowPunct/>
        <w:topLinePunct w:val="0"/>
        <w:autoSpaceDE/>
        <w:autoSpaceDN/>
        <w:bidi w:val="0"/>
        <w:adjustRightInd/>
        <w:snapToGrid/>
        <w:spacing w:line="300" w:lineRule="auto"/>
        <w:ind w:firstLine="420"/>
        <w:textAlignment w:val="auto"/>
        <w:rPr>
          <w:rFonts w:ascii="宋体" w:hAnsi="宋体" w:cs="宋体"/>
          <w:i/>
          <w:iCs/>
          <w:color w:val="auto"/>
          <w:szCs w:val="21"/>
          <w:highlight w:val="none"/>
        </w:rPr>
      </w:pPr>
      <w:bookmarkStart w:id="15" w:name="_Toc38985265"/>
      <w:bookmarkStart w:id="16" w:name="_Toc35393792"/>
      <w:bookmarkStart w:id="17" w:name="_Toc35393623"/>
      <w:bookmarkStart w:id="18" w:name="_Toc28359081"/>
      <w:bookmarkStart w:id="19" w:name="_Toc28359004"/>
      <w:r>
        <w:rPr>
          <w:rFonts w:hint="eastAsia" w:ascii="宋体" w:hAnsi="宋体" w:cs="宋体"/>
          <w:i/>
          <w:iCs/>
          <w:color w:val="auto"/>
          <w:szCs w:val="21"/>
          <w:highlight w:val="none"/>
          <w:lang w:val="en-US" w:eastAsia="zh-CN"/>
        </w:rPr>
        <w:t>（一）</w:t>
      </w:r>
      <w:r>
        <w:rPr>
          <w:rFonts w:hint="eastAsia" w:ascii="宋体" w:hAnsi="宋体" w:cs="宋体"/>
          <w:i/>
          <w:iCs/>
          <w:color w:val="auto"/>
          <w:szCs w:val="21"/>
          <w:highlight w:val="none"/>
        </w:rPr>
        <w:t>满足《中华人民共和国政府采购法》第二十二条规定，并提供下列材料：</w:t>
      </w:r>
    </w:p>
    <w:p w14:paraId="5FB80C6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eastAsia="宋体" w:cs="宋体"/>
          <w:bCs/>
          <w:i/>
          <w:iCs w:val="0"/>
          <w:color w:val="auto"/>
          <w:szCs w:val="21"/>
          <w:highlight w:val="none"/>
          <w:u w:val="single"/>
          <w:lang w:eastAsia="zh-CN"/>
        </w:rPr>
      </w:pPr>
      <w:r>
        <w:rPr>
          <w:rFonts w:hint="eastAsia" w:ascii="宋体" w:hAnsi="宋体" w:cs="宋体"/>
          <w:bCs/>
          <w:i/>
          <w:iCs w:val="0"/>
          <w:color w:val="auto"/>
          <w:szCs w:val="21"/>
          <w:highlight w:val="none"/>
          <w:u w:val="single"/>
        </w:rPr>
        <w:t>1.</w:t>
      </w:r>
      <w:r>
        <w:rPr>
          <w:rFonts w:hint="eastAsia" w:ascii="宋体" w:hAnsi="宋体" w:cs="宋体"/>
          <w:bCs/>
          <w:i/>
          <w:color w:val="auto"/>
          <w:szCs w:val="21"/>
          <w:highlight w:val="none"/>
          <w:u w:val="single"/>
        </w:rPr>
        <w:t>具有独立承担民事责任的能力（提供法人或者其他组织的营业执照等证明文件，自然人的身份证明复印件）</w:t>
      </w:r>
      <w:r>
        <w:rPr>
          <w:rFonts w:hint="eastAsia" w:ascii="宋体" w:hAnsi="宋体" w:cs="宋体"/>
          <w:bCs/>
          <w:i/>
          <w:iCs w:val="0"/>
          <w:color w:val="auto"/>
          <w:szCs w:val="21"/>
          <w:highlight w:val="none"/>
          <w:u w:val="single"/>
          <w:lang w:eastAsia="zh-CN"/>
        </w:rPr>
        <w:t>。</w:t>
      </w:r>
    </w:p>
    <w:p w14:paraId="78517F2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eastAsia="宋体" w:cs="宋体"/>
          <w:bCs/>
          <w:i/>
          <w:iCs w:val="0"/>
          <w:color w:val="auto"/>
          <w:szCs w:val="21"/>
          <w:highlight w:val="none"/>
          <w:u w:val="single"/>
          <w:lang w:eastAsia="zh-CN"/>
        </w:rPr>
      </w:pPr>
      <w:r>
        <w:rPr>
          <w:rFonts w:hint="eastAsia" w:ascii="宋体" w:hAnsi="宋体" w:cs="宋体"/>
          <w:bCs/>
          <w:i/>
          <w:iCs w:val="0"/>
          <w:color w:val="auto"/>
          <w:szCs w:val="21"/>
          <w:highlight w:val="none"/>
          <w:u w:val="single"/>
          <w:lang w:val="en-US" w:eastAsia="zh-CN"/>
        </w:rPr>
        <w:t>2.</w:t>
      </w:r>
      <w:r>
        <w:rPr>
          <w:rFonts w:hint="eastAsia" w:ascii="宋体" w:hAnsi="宋体" w:cs="宋体"/>
          <w:bCs/>
          <w:i/>
          <w:color w:val="auto"/>
          <w:szCs w:val="21"/>
          <w:highlight w:val="none"/>
          <w:u w:val="single"/>
        </w:rPr>
        <w:t>具有良好的商业信誉和健全的财务会计制度</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提供开标</w:t>
      </w:r>
      <w:r>
        <w:rPr>
          <w:rFonts w:hint="eastAsia" w:ascii="宋体" w:hAnsi="宋体" w:cs="宋体"/>
          <w:bCs/>
          <w:i/>
          <w:color w:val="auto"/>
          <w:szCs w:val="21"/>
          <w:highlight w:val="none"/>
          <w:u w:val="single"/>
          <w:lang w:val="en-US" w:eastAsia="zh-CN"/>
        </w:rPr>
        <w:t>时间</w:t>
      </w:r>
      <w:r>
        <w:rPr>
          <w:rFonts w:hint="eastAsia" w:ascii="宋体" w:hAnsi="宋体" w:cs="宋体"/>
          <w:bCs/>
          <w:i/>
          <w:color w:val="auto"/>
          <w:szCs w:val="21"/>
          <w:highlight w:val="none"/>
          <w:u w:val="single"/>
        </w:rPr>
        <w:t>前</w:t>
      </w:r>
      <w:r>
        <w:rPr>
          <w:rFonts w:hint="eastAsia" w:ascii="宋体" w:hAnsi="宋体" w:cs="宋体"/>
          <w:bCs/>
          <w:i/>
          <w:color w:val="auto"/>
          <w:szCs w:val="21"/>
          <w:highlight w:val="none"/>
          <w:u w:val="single"/>
          <w:lang w:val="en-US" w:eastAsia="zh-CN"/>
        </w:rPr>
        <w:t>12</w:t>
      </w:r>
      <w:r>
        <w:rPr>
          <w:rFonts w:hint="eastAsia" w:ascii="宋体" w:hAnsi="宋体" w:cs="宋体"/>
          <w:bCs/>
          <w:i/>
          <w:color w:val="auto"/>
          <w:szCs w:val="21"/>
          <w:highlight w:val="none"/>
          <w:u w:val="single"/>
        </w:rPr>
        <w:t>个</w:t>
      </w:r>
      <w:bookmarkStart w:id="90" w:name="_GoBack"/>
      <w:r>
        <w:rPr>
          <w:rFonts w:hint="eastAsia" w:ascii="宋体" w:hAnsi="宋体" w:cs="宋体"/>
          <w:bCs/>
          <w:i/>
          <w:color w:val="auto"/>
          <w:szCs w:val="21"/>
          <w:highlight w:val="none"/>
          <w:u w:val="single"/>
        </w:rPr>
        <w:t>月</w:t>
      </w:r>
      <w:bookmarkEnd w:id="90"/>
      <w:r>
        <w:rPr>
          <w:rFonts w:hint="eastAsia" w:ascii="宋体" w:hAnsi="宋体" w:cs="宋体"/>
          <w:bCs/>
          <w:i/>
          <w:color w:val="auto"/>
          <w:szCs w:val="21"/>
          <w:highlight w:val="none"/>
          <w:u w:val="single"/>
        </w:rPr>
        <w:t>内任意</w:t>
      </w:r>
      <w:r>
        <w:rPr>
          <w:rFonts w:hint="eastAsia" w:ascii="宋体" w:hAnsi="宋体" w:cs="宋体"/>
          <w:bCs/>
          <w:i/>
          <w:color w:val="auto"/>
          <w:szCs w:val="21"/>
          <w:highlight w:val="none"/>
          <w:u w:val="single"/>
          <w:lang w:val="en-US" w:eastAsia="zh-CN"/>
        </w:rPr>
        <w:t>1</w:t>
      </w:r>
      <w:r>
        <w:rPr>
          <w:rFonts w:hint="eastAsia" w:ascii="宋体" w:hAnsi="宋体" w:cs="宋体"/>
          <w:bCs/>
          <w:i/>
          <w:color w:val="auto"/>
          <w:szCs w:val="21"/>
          <w:highlight w:val="none"/>
          <w:u w:val="single"/>
        </w:rPr>
        <w:t>个月的财务状况报告(至少包括资产负债表和利润表)（法人或者其他组织成立未满</w:t>
      </w:r>
      <w:r>
        <w:rPr>
          <w:rFonts w:hint="eastAsia" w:ascii="宋体" w:hAnsi="宋体" w:cs="宋体"/>
          <w:bCs/>
          <w:i/>
          <w:color w:val="auto"/>
          <w:szCs w:val="21"/>
          <w:highlight w:val="none"/>
          <w:u w:val="single"/>
          <w:lang w:val="en-US" w:eastAsia="zh-CN"/>
        </w:rPr>
        <w:t>3</w:t>
      </w:r>
      <w:r>
        <w:rPr>
          <w:rFonts w:hint="eastAsia" w:ascii="宋体" w:hAnsi="宋体" w:cs="宋体"/>
          <w:bCs/>
          <w:i/>
          <w:color w:val="auto"/>
          <w:szCs w:val="21"/>
          <w:highlight w:val="none"/>
          <w:u w:val="single"/>
        </w:rPr>
        <w:t>个月的可以不提供）</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或开标</w:t>
      </w:r>
      <w:r>
        <w:rPr>
          <w:rFonts w:hint="eastAsia" w:ascii="宋体" w:hAnsi="宋体" w:cs="宋体"/>
          <w:bCs/>
          <w:i/>
          <w:color w:val="auto"/>
          <w:szCs w:val="21"/>
          <w:highlight w:val="none"/>
          <w:u w:val="single"/>
          <w:lang w:val="en-US" w:eastAsia="zh-CN"/>
        </w:rPr>
        <w:t>时间</w:t>
      </w:r>
      <w:r>
        <w:rPr>
          <w:rFonts w:hint="eastAsia" w:ascii="宋体" w:hAnsi="宋体" w:cs="宋体"/>
          <w:bCs/>
          <w:i/>
          <w:color w:val="auto"/>
          <w:szCs w:val="21"/>
          <w:highlight w:val="none"/>
          <w:u w:val="single"/>
        </w:rPr>
        <w:t>前</w:t>
      </w:r>
      <w:r>
        <w:rPr>
          <w:rFonts w:hint="eastAsia" w:ascii="宋体" w:hAnsi="宋体" w:cs="宋体"/>
          <w:bCs/>
          <w:i/>
          <w:color w:val="auto"/>
          <w:szCs w:val="21"/>
          <w:highlight w:val="none"/>
          <w:u w:val="single"/>
          <w:lang w:val="en-US" w:eastAsia="zh-CN"/>
        </w:rPr>
        <w:t>12</w:t>
      </w:r>
      <w:r>
        <w:rPr>
          <w:rFonts w:hint="eastAsia" w:ascii="宋体" w:hAnsi="宋体" w:cs="宋体"/>
          <w:bCs/>
          <w:i/>
          <w:color w:val="auto"/>
          <w:szCs w:val="21"/>
          <w:highlight w:val="none"/>
          <w:u w:val="single"/>
        </w:rPr>
        <w:t>个月内银行出具的资信证书复印件</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或其上一年度经审计的财务报告复印件</w:t>
      </w:r>
      <w:r>
        <w:rPr>
          <w:rFonts w:hint="eastAsia" w:ascii="宋体" w:hAnsi="宋体" w:cs="宋体"/>
          <w:bCs/>
          <w:i/>
          <w:color w:val="auto"/>
          <w:szCs w:val="21"/>
          <w:highlight w:val="none"/>
          <w:u w:val="single"/>
          <w:lang w:eastAsia="zh-CN"/>
        </w:rPr>
        <w:t>）。</w:t>
      </w:r>
    </w:p>
    <w:p w14:paraId="2A2E7AF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eastAsia="宋体" w:cs="宋体"/>
          <w:b w:val="0"/>
          <w:bCs/>
          <w:i/>
          <w:iCs w:val="0"/>
          <w:color w:val="auto"/>
          <w:szCs w:val="21"/>
          <w:highlight w:val="none"/>
          <w:u w:val="single"/>
          <w:lang w:eastAsia="zh-CN"/>
        </w:rPr>
      </w:pPr>
      <w:r>
        <w:rPr>
          <w:rFonts w:hint="eastAsia" w:ascii="宋体" w:hAnsi="宋体" w:cs="宋体"/>
          <w:bCs/>
          <w:i/>
          <w:iCs w:val="0"/>
          <w:color w:val="auto"/>
          <w:szCs w:val="21"/>
          <w:highlight w:val="none"/>
          <w:u w:val="single"/>
        </w:rPr>
        <w:t>3</w:t>
      </w:r>
      <w:r>
        <w:rPr>
          <w:rFonts w:hint="eastAsia" w:ascii="宋体" w:hAnsi="宋体" w:cs="宋体"/>
          <w:bCs/>
          <w:i/>
          <w:iCs w:val="0"/>
          <w:color w:val="auto"/>
          <w:szCs w:val="21"/>
          <w:highlight w:val="none"/>
          <w:u w:val="single"/>
          <w:lang w:val="en-US" w:eastAsia="zh-CN"/>
        </w:rPr>
        <w:t>.</w:t>
      </w:r>
      <w:r>
        <w:rPr>
          <w:rFonts w:hint="eastAsia" w:ascii="宋体" w:hAnsi="宋体" w:cs="宋体"/>
          <w:bCs/>
          <w:i/>
          <w:color w:val="auto"/>
          <w:szCs w:val="21"/>
          <w:highlight w:val="none"/>
          <w:u w:val="single"/>
        </w:rPr>
        <w:t>具有履行合同所必需的设备和专业技术能力（根据项目需求提供履行合同所必需的设备和专业技术能</w:t>
      </w:r>
      <w:r>
        <w:rPr>
          <w:rFonts w:hint="eastAsia" w:ascii="宋体" w:hAnsi="宋体" w:cs="宋体"/>
          <w:bCs/>
          <w:i/>
          <w:color w:val="auto"/>
          <w:szCs w:val="21"/>
          <w:highlight w:val="none"/>
          <w:u w:val="single"/>
          <w:lang w:val="en-US" w:eastAsia="zh-CN"/>
        </w:rPr>
        <w:t>保修</w:t>
      </w:r>
      <w:r>
        <w:rPr>
          <w:rFonts w:hint="eastAsia" w:ascii="宋体" w:hAnsi="宋体" w:cs="宋体"/>
          <w:bCs/>
          <w:i/>
          <w:color w:val="auto"/>
          <w:szCs w:val="21"/>
          <w:highlight w:val="none"/>
          <w:u w:val="single"/>
        </w:rPr>
        <w:t>力的证明材料复印件或</w:t>
      </w:r>
      <w:r>
        <w:rPr>
          <w:rFonts w:hint="eastAsia" w:ascii="宋体" w:hAnsi="宋体" w:cs="宋体"/>
          <w:bCs/>
          <w:i/>
          <w:color w:val="auto"/>
          <w:szCs w:val="21"/>
          <w:highlight w:val="none"/>
          <w:u w:val="single"/>
          <w:lang w:val="en-US" w:eastAsia="zh-CN"/>
        </w:rPr>
        <w:t>声明函</w:t>
      </w:r>
      <w:r>
        <w:rPr>
          <w:rFonts w:hint="eastAsia" w:ascii="宋体" w:hAnsi="宋体" w:cs="宋体"/>
          <w:bCs/>
          <w:i/>
          <w:color w:val="auto"/>
          <w:szCs w:val="21"/>
          <w:highlight w:val="none"/>
          <w:u w:val="single"/>
        </w:rPr>
        <w:t>）</w:t>
      </w:r>
      <w:r>
        <w:rPr>
          <w:rFonts w:hint="eastAsia" w:ascii="宋体" w:hAnsi="宋体" w:cs="宋体"/>
          <w:bCs/>
          <w:i/>
          <w:color w:val="auto"/>
          <w:szCs w:val="21"/>
          <w:highlight w:val="none"/>
          <w:u w:val="single"/>
          <w:lang w:eastAsia="zh-CN"/>
        </w:rPr>
        <w:t>。</w:t>
      </w:r>
    </w:p>
    <w:p w14:paraId="22109A1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iCs w:val="0"/>
          <w:color w:val="auto"/>
          <w:szCs w:val="21"/>
          <w:highlight w:val="none"/>
          <w:u w:val="single"/>
          <w:lang w:val="en-US"/>
        </w:rPr>
      </w:pPr>
      <w:r>
        <w:rPr>
          <w:rFonts w:hint="eastAsia" w:ascii="宋体" w:hAnsi="宋体" w:cs="宋体"/>
          <w:bCs/>
          <w:i/>
          <w:iCs w:val="0"/>
          <w:color w:val="auto"/>
          <w:szCs w:val="21"/>
          <w:highlight w:val="none"/>
          <w:u w:val="single"/>
          <w:lang w:val="en-US" w:eastAsia="zh-CN"/>
        </w:rPr>
        <w:t>4.</w:t>
      </w:r>
      <w:r>
        <w:rPr>
          <w:rFonts w:hint="eastAsia" w:ascii="宋体" w:hAnsi="宋体" w:cs="宋体"/>
          <w:bCs/>
          <w:i/>
          <w:color w:val="auto"/>
          <w:szCs w:val="21"/>
          <w:highlight w:val="none"/>
          <w:u w:val="single"/>
        </w:rPr>
        <w:t>有依法缴纳税收和社会保障资金的良好记录（提供开标</w:t>
      </w:r>
      <w:r>
        <w:rPr>
          <w:rFonts w:hint="eastAsia" w:ascii="宋体" w:hAnsi="宋体" w:cs="宋体"/>
          <w:bCs/>
          <w:i/>
          <w:color w:val="auto"/>
          <w:szCs w:val="21"/>
          <w:highlight w:val="none"/>
          <w:u w:val="single"/>
          <w:lang w:val="en-US" w:eastAsia="zh-CN"/>
        </w:rPr>
        <w:t>时间</w:t>
      </w:r>
      <w:r>
        <w:rPr>
          <w:rFonts w:hint="eastAsia" w:ascii="宋体" w:hAnsi="宋体" w:cs="宋体"/>
          <w:bCs/>
          <w:i/>
          <w:color w:val="auto"/>
          <w:szCs w:val="21"/>
          <w:highlight w:val="none"/>
          <w:u w:val="single"/>
        </w:rPr>
        <w:t>前</w:t>
      </w:r>
      <w:r>
        <w:rPr>
          <w:rFonts w:hint="eastAsia" w:ascii="宋体" w:hAnsi="宋体" w:cs="宋体"/>
          <w:bCs/>
          <w:i/>
          <w:color w:val="auto"/>
          <w:szCs w:val="21"/>
          <w:highlight w:val="none"/>
          <w:u w:val="single"/>
          <w:lang w:val="en-US" w:eastAsia="zh-CN"/>
        </w:rPr>
        <w:t>6</w:t>
      </w:r>
      <w:r>
        <w:rPr>
          <w:rFonts w:hint="eastAsia" w:ascii="宋体" w:hAnsi="宋体" w:cs="宋体"/>
          <w:bCs/>
          <w:i/>
          <w:color w:val="auto"/>
          <w:szCs w:val="21"/>
          <w:highlight w:val="none"/>
          <w:u w:val="single"/>
        </w:rPr>
        <w:t>个月内任意</w:t>
      </w:r>
      <w:r>
        <w:rPr>
          <w:rFonts w:hint="eastAsia" w:ascii="宋体" w:hAnsi="宋体" w:cs="宋体"/>
          <w:bCs/>
          <w:i/>
          <w:color w:val="auto"/>
          <w:szCs w:val="21"/>
          <w:highlight w:val="none"/>
          <w:u w:val="single"/>
          <w:lang w:val="en-US" w:eastAsia="zh-CN"/>
        </w:rPr>
        <w:t>1</w:t>
      </w:r>
      <w:r>
        <w:rPr>
          <w:rFonts w:hint="eastAsia" w:ascii="宋体" w:hAnsi="宋体" w:cs="宋体"/>
          <w:bCs/>
          <w:i/>
          <w:color w:val="auto"/>
          <w:szCs w:val="21"/>
          <w:highlight w:val="none"/>
          <w:u w:val="single"/>
        </w:rPr>
        <w:t>个月依法缴纳税收和社会保障资金的相关材料复印件，依法享受免缴、缓缴的提供证明材料复印件）</w:t>
      </w:r>
      <w:r>
        <w:rPr>
          <w:rFonts w:hint="eastAsia" w:ascii="宋体" w:hAnsi="宋体" w:cs="宋体"/>
          <w:bCs/>
          <w:i/>
          <w:iCs w:val="0"/>
          <w:color w:val="auto"/>
          <w:szCs w:val="21"/>
          <w:highlight w:val="none"/>
          <w:u w:val="single"/>
          <w:lang w:val="en-US" w:eastAsia="zh-CN"/>
        </w:rPr>
        <w:t>。</w:t>
      </w:r>
    </w:p>
    <w:p w14:paraId="1C46D27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Cs/>
          <w:i/>
          <w:iCs w:val="0"/>
          <w:color w:val="auto"/>
          <w:szCs w:val="21"/>
          <w:highlight w:val="none"/>
          <w:u w:val="single"/>
        </w:rPr>
      </w:pPr>
      <w:r>
        <w:rPr>
          <w:rFonts w:hint="eastAsia" w:ascii="宋体" w:hAnsi="宋体" w:cs="宋体"/>
          <w:bCs/>
          <w:i/>
          <w:iCs w:val="0"/>
          <w:color w:val="auto"/>
          <w:szCs w:val="21"/>
          <w:highlight w:val="none"/>
          <w:u w:val="single"/>
          <w:lang w:val="en-US" w:eastAsia="zh-CN"/>
        </w:rPr>
        <w:t>5.</w:t>
      </w:r>
      <w:r>
        <w:rPr>
          <w:rFonts w:hint="eastAsia" w:ascii="宋体" w:hAnsi="宋体" w:cs="宋体"/>
          <w:bCs/>
          <w:i/>
          <w:color w:val="auto"/>
          <w:szCs w:val="21"/>
          <w:highlight w:val="none"/>
          <w:u w:val="single"/>
        </w:rPr>
        <w:t>参加政府采购活动前</w:t>
      </w:r>
      <w:r>
        <w:rPr>
          <w:rFonts w:hint="eastAsia" w:ascii="宋体" w:hAnsi="宋体" w:cs="宋体"/>
          <w:bCs/>
          <w:i/>
          <w:color w:val="auto"/>
          <w:szCs w:val="21"/>
          <w:highlight w:val="none"/>
          <w:u w:val="single"/>
          <w:lang w:val="en-US" w:eastAsia="zh-CN"/>
        </w:rPr>
        <w:t>3</w:t>
      </w:r>
      <w:r>
        <w:rPr>
          <w:rFonts w:hint="eastAsia" w:ascii="宋体" w:hAnsi="宋体" w:cs="宋体"/>
          <w:bCs/>
          <w:i/>
          <w:color w:val="auto"/>
          <w:szCs w:val="21"/>
          <w:highlight w:val="none"/>
          <w:u w:val="single"/>
        </w:rPr>
        <w:t>年内，在经营活动中没有重大违法记录（提供声明函原件（重大违法记录是指供应商因违法经营受到刑事处罚或责令停产停业、吊销许可证或者执照、较大数额罚款等行政处罚））。</w:t>
      </w:r>
    </w:p>
    <w:p w14:paraId="7F52F75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Cs/>
          <w:i/>
          <w:iCs w:val="0"/>
          <w:color w:val="auto"/>
          <w:szCs w:val="21"/>
          <w:highlight w:val="none"/>
          <w:u w:val="single"/>
        </w:rPr>
      </w:pPr>
      <w:r>
        <w:rPr>
          <w:rFonts w:hint="eastAsia" w:ascii="宋体" w:hAnsi="宋体" w:cs="宋体"/>
          <w:bCs/>
          <w:i/>
          <w:iCs w:val="0"/>
          <w:color w:val="auto"/>
          <w:szCs w:val="21"/>
          <w:highlight w:val="none"/>
          <w:u w:val="single"/>
          <w:lang w:val="en-US" w:eastAsia="zh-CN"/>
        </w:rPr>
        <w:t>6.</w:t>
      </w:r>
      <w:r>
        <w:rPr>
          <w:rFonts w:hint="eastAsia" w:ascii="宋体" w:hAnsi="宋体" w:cs="宋体"/>
          <w:bCs/>
          <w:i/>
          <w:color w:val="auto"/>
          <w:szCs w:val="21"/>
          <w:highlight w:val="none"/>
          <w:u w:val="single"/>
        </w:rPr>
        <w:t>法律、行政法规规定的其他条件。</w:t>
      </w:r>
    </w:p>
    <w:p w14:paraId="194E6F6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ascii="宋体" w:hAnsi="宋体" w:cs="宋体"/>
          <w:b/>
          <w:i/>
          <w:color w:val="auto"/>
          <w:sz w:val="21"/>
          <w:szCs w:val="21"/>
          <w:highlight w:val="none"/>
          <w:u w:val="single"/>
        </w:rPr>
      </w:pP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二</w:t>
      </w:r>
      <w:r>
        <w:rPr>
          <w:rFonts w:hint="eastAsia" w:ascii="宋体" w:hAnsi="宋体" w:cs="宋体"/>
          <w:b/>
          <w:color w:val="auto"/>
          <w:sz w:val="21"/>
          <w:szCs w:val="21"/>
          <w:highlight w:val="none"/>
          <w:lang w:eastAsia="zh-CN"/>
        </w:rPr>
        <w:t>）</w:t>
      </w:r>
      <w:r>
        <w:rPr>
          <w:rFonts w:ascii="宋体" w:hAnsi="宋体" w:cs="宋体"/>
          <w:b/>
          <w:i/>
          <w:color w:val="auto"/>
          <w:sz w:val="21"/>
          <w:szCs w:val="21"/>
          <w:highlight w:val="none"/>
          <w:u w:val="single"/>
        </w:rPr>
        <w:t>落实政府采购政策需满足的资格要求：</w:t>
      </w:r>
    </w:p>
    <w:p w14:paraId="074A778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rPr>
      </w:pPr>
      <w:r>
        <w:rPr>
          <w:rFonts w:hint="eastAsia" w:ascii="宋体" w:hAnsi="宋体" w:cs="宋体"/>
          <w:b w:val="0"/>
          <w:bCs/>
          <w:i/>
          <w:color w:val="auto"/>
          <w:sz w:val="21"/>
          <w:szCs w:val="21"/>
          <w:highlight w:val="none"/>
          <w:u w:val="single"/>
          <w:lang w:val="en-US" w:eastAsia="zh-CN"/>
        </w:rPr>
        <w:t>1.</w:t>
      </w:r>
      <w:r>
        <w:rPr>
          <w:rFonts w:hint="eastAsia" w:ascii="宋体" w:hAnsi="宋体" w:cs="宋体"/>
          <w:b w:val="0"/>
          <w:bCs/>
          <w:i/>
          <w:color w:val="auto"/>
          <w:sz w:val="21"/>
          <w:szCs w:val="21"/>
          <w:highlight w:val="none"/>
          <w:u w:val="single"/>
        </w:rPr>
        <w:t>本项目为专门面向中小企业项目。</w:t>
      </w:r>
    </w:p>
    <w:p w14:paraId="2A96A3E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b w:val="0"/>
          <w:bCs/>
          <w:color w:val="auto"/>
          <w:sz w:val="21"/>
          <w:szCs w:val="21"/>
          <w:highlight w:val="none"/>
        </w:rPr>
      </w:pPr>
      <w:r>
        <w:rPr>
          <w:rFonts w:ascii="宋体" w:hAnsi="宋体" w:cs="宋体"/>
          <w:b w:val="0"/>
          <w:bCs/>
          <w:i/>
          <w:color w:val="auto"/>
          <w:sz w:val="21"/>
          <w:szCs w:val="21"/>
          <w:highlight w:val="none"/>
          <w:u w:val="single"/>
        </w:rPr>
        <w:t>2.本项目属于货物类采购。根据《政府采购促进中小企业发展管理办法》（财库〔2020〕46号）、《关于做好政府采购支持企业发展有关事项的通知》(苏财购(2020)52号)的要求，小型、微型企业</w:t>
      </w:r>
      <w:r>
        <w:rPr>
          <w:rFonts w:hint="eastAsia" w:ascii="宋体" w:hAnsi="宋体" w:cs="宋体"/>
          <w:b w:val="0"/>
          <w:bCs/>
          <w:i/>
          <w:color w:val="auto"/>
          <w:sz w:val="21"/>
          <w:szCs w:val="21"/>
          <w:highlight w:val="none"/>
          <w:u w:val="single"/>
        </w:rPr>
        <w:t>在评标时享受扶持政策。</w:t>
      </w:r>
      <w:r>
        <w:rPr>
          <w:rFonts w:ascii="宋体" w:hAnsi="宋体" w:cs="宋体"/>
          <w:b w:val="0"/>
          <w:bCs/>
          <w:i/>
          <w:color w:val="auto"/>
          <w:sz w:val="21"/>
          <w:szCs w:val="21"/>
          <w:highlight w:val="none"/>
          <w:u w:val="single"/>
        </w:rPr>
        <w:t>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p w14:paraId="4F44900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b w:val="0"/>
          <w:bCs/>
          <w:color w:val="auto"/>
          <w:sz w:val="21"/>
          <w:szCs w:val="21"/>
          <w:highlight w:val="none"/>
        </w:rPr>
      </w:pPr>
      <w:r>
        <w:rPr>
          <w:rFonts w:hint="eastAsia" w:ascii="宋体" w:hAnsi="宋体" w:cs="宋体"/>
          <w:b w:val="0"/>
          <w:bCs/>
          <w:i/>
          <w:color w:val="auto"/>
          <w:sz w:val="21"/>
          <w:szCs w:val="21"/>
          <w:highlight w:val="none"/>
          <w:u w:val="single"/>
          <w:lang w:val="en-US" w:eastAsia="zh-CN"/>
        </w:rPr>
        <w:t>3</w:t>
      </w:r>
      <w:r>
        <w:rPr>
          <w:rFonts w:ascii="宋体" w:hAnsi="宋体" w:cs="宋体"/>
          <w:b w:val="0"/>
          <w:bCs/>
          <w:i/>
          <w:color w:val="auto"/>
          <w:sz w:val="21"/>
          <w:szCs w:val="21"/>
          <w:highlight w:val="none"/>
          <w:u w:val="single"/>
        </w:rPr>
        <w:t>.中小微企业划型标准请对照《关于印发中小企业划型标准规定的通知》（工信部联企业〔2011〕300号）（详见</w:t>
      </w:r>
      <w:r>
        <w:rPr>
          <w:rFonts w:hint="eastAsia" w:ascii="宋体" w:hAnsi="宋体" w:cs="宋体"/>
          <w:b w:val="0"/>
          <w:bCs/>
          <w:i/>
          <w:color w:val="auto"/>
          <w:sz w:val="21"/>
          <w:szCs w:val="21"/>
          <w:highlight w:val="none"/>
          <w:u w:val="single"/>
        </w:rPr>
        <w:t>格式</w:t>
      </w:r>
      <w:r>
        <w:rPr>
          <w:rFonts w:ascii="宋体" w:hAnsi="宋体" w:cs="宋体"/>
          <w:b w:val="0"/>
          <w:bCs/>
          <w:i/>
          <w:color w:val="auto"/>
          <w:sz w:val="21"/>
          <w:szCs w:val="21"/>
          <w:highlight w:val="none"/>
          <w:u w:val="single"/>
        </w:rPr>
        <w:t>）。本项目采购标的对应的行业主要为工业。</w:t>
      </w:r>
    </w:p>
    <w:p w14:paraId="4A1EFF2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ascii="宋体" w:hAnsi="宋体" w:cs="宋体"/>
          <w:b/>
          <w:color w:val="auto"/>
          <w:sz w:val="21"/>
          <w:szCs w:val="21"/>
          <w:highlight w:val="none"/>
        </w:rPr>
      </w:pP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三</w:t>
      </w:r>
      <w:r>
        <w:rPr>
          <w:rFonts w:hint="eastAsia" w:ascii="宋体" w:hAnsi="宋体" w:cs="宋体"/>
          <w:b/>
          <w:color w:val="auto"/>
          <w:sz w:val="21"/>
          <w:szCs w:val="21"/>
          <w:highlight w:val="none"/>
          <w:lang w:eastAsia="zh-CN"/>
        </w:rPr>
        <w:t>）</w:t>
      </w:r>
      <w:r>
        <w:rPr>
          <w:rFonts w:ascii="宋体" w:hAnsi="宋体" w:cs="宋体"/>
          <w:b/>
          <w:color w:val="auto"/>
          <w:sz w:val="21"/>
          <w:szCs w:val="21"/>
          <w:highlight w:val="none"/>
        </w:rPr>
        <w:t>本项目的特定资格要求：</w:t>
      </w:r>
    </w:p>
    <w:p w14:paraId="4ED2D8C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1.特定资格条件：</w:t>
      </w:r>
    </w:p>
    <w:p w14:paraId="3936508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（1）本项目不接受进口产品参与投标（注：指产品而非构成产品的零部件或者原材料，本文件所称进口产品是指通过中国海关报关验放进入中国境内且产自关境外的产品）。</w:t>
      </w:r>
    </w:p>
    <w:p w14:paraId="1AF2802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（2）</w:t>
      </w:r>
      <w:bookmarkStart w:id="20" w:name="_Hlk195713859"/>
      <w:r>
        <w:rPr>
          <w:rFonts w:hint="eastAsia" w:ascii="宋体" w:hAnsi="宋体" w:cs="宋体"/>
          <w:i/>
          <w:iCs/>
          <w:color w:val="auto"/>
          <w:sz w:val="22"/>
          <w:highlight w:val="none"/>
          <w:u w:val="single"/>
        </w:rPr>
        <w:t>投标人应</w:t>
      </w:r>
      <w:bookmarkEnd w:id="20"/>
      <w:r>
        <w:rPr>
          <w:rFonts w:hint="eastAsia" w:ascii="宋体" w:hAnsi="宋体" w:cs="宋体"/>
          <w:b w:val="0"/>
          <w:bCs/>
          <w:i/>
          <w:color w:val="auto"/>
          <w:sz w:val="21"/>
          <w:szCs w:val="21"/>
          <w:highlight w:val="none"/>
          <w:u w:val="single"/>
          <w:lang w:val="en-US" w:eastAsia="zh-CN"/>
        </w:rPr>
        <w:t>根据投标产品的类别，提供《医疗器械经营企业许可证》或者《医疗器械经营备案凭证》。（提供证书复印件）</w:t>
      </w:r>
    </w:p>
    <w:p w14:paraId="09E45BA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（3）投标人须提供投标产品的《医疗器械注册证》。（提供证书复印件）</w:t>
      </w:r>
    </w:p>
    <w:p w14:paraId="546384D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2.供应商存在下列情形的不得参加本次采购活动：</w:t>
      </w:r>
    </w:p>
    <w:p w14:paraId="6FEBC33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（1）单位负责人为同一人或者存在直接控股、管理关系的不同供应商，不得参加同一合同项下的政府采购活动。</w:t>
      </w:r>
    </w:p>
    <w:p w14:paraId="3EFB304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（2）除单一来源项目外，凡为采购项目提供整体设计、规范编制或者项目管理、检测等服务的供应商不得再参加本项目的采购活动。</w:t>
      </w:r>
    </w:p>
    <w:p w14:paraId="1577BAB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3）通过“信用中国”网站（http://www.creditchina.gov.cn）、“中国政府采购网”（http://www.ccgp.gov.cn）查询供应商的信用记录，通过以上查询渠道，供应商被列入失信被执行人、重大税收违法失信主体、政府采购严重违法失信行为记录。（查询时间为响应截止时间以后、资格审查阶段采购人或采购代理机构的实际查询时间）</w:t>
      </w:r>
    </w:p>
    <w:p w14:paraId="7C42D2D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color w:val="auto"/>
          <w:highlight w:val="none"/>
        </w:rPr>
      </w:pPr>
      <w:r>
        <w:rPr>
          <w:rFonts w:hint="eastAsia" w:ascii="宋体" w:hAnsi="宋体" w:cs="宋体"/>
          <w:b w:val="0"/>
          <w:bCs/>
          <w:i/>
          <w:color w:val="auto"/>
          <w:sz w:val="21"/>
          <w:szCs w:val="21"/>
          <w:highlight w:val="none"/>
          <w:u w:val="single"/>
          <w:lang w:val="en-US" w:eastAsia="zh-CN"/>
        </w:rPr>
        <w:t>3.投标人信用承诺函</w:t>
      </w:r>
    </w:p>
    <w:p w14:paraId="42CF0C0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color w:val="auto"/>
          <w:sz w:val="21"/>
          <w:szCs w:val="21"/>
          <w:highlight w:val="none"/>
          <w:u w:val="single"/>
          <w:lang w:val="en-US" w:eastAsia="zh-CN"/>
        </w:rPr>
        <w:t>注：采购人、采购代理机构、投标人实际控制人为同一人或者存在直接控股、管理关系的，不得参加同一合同项下的采购活动。采购代理机构及其分支机构不得在所代理的招标项目中投标或代理投标。</w:t>
      </w:r>
    </w:p>
    <w:p w14:paraId="49C25C5F">
      <w:pPr>
        <w:pageBreakBefore w:val="0"/>
        <w:tabs>
          <w:tab w:val="left" w:pos="266"/>
        </w:tabs>
        <w:kinsoku/>
        <w:wordWrap/>
        <w:overflowPunct/>
        <w:topLinePunct w:val="0"/>
        <w:autoSpaceDE/>
        <w:autoSpaceDN/>
        <w:bidi w:val="0"/>
        <w:adjustRightInd/>
        <w:snapToGrid/>
        <w:spacing w:line="300" w:lineRule="auto"/>
        <w:textAlignment w:val="auto"/>
        <w:rPr>
          <w:rFonts w:hint="eastAsia" w:ascii="宋体" w:hAnsi="宋体" w:cs="宋体"/>
          <w:b/>
          <w:bCs/>
          <w:color w:val="auto"/>
          <w:highlight w:val="none"/>
        </w:rPr>
      </w:pPr>
      <w:r>
        <w:rPr>
          <w:rFonts w:hint="eastAsia" w:ascii="宋体" w:hAnsi="宋体" w:cs="宋体"/>
          <w:b/>
          <w:bCs/>
          <w:color w:val="auto"/>
          <w:highlight w:val="none"/>
        </w:rPr>
        <w:t>三、获取</w:t>
      </w:r>
      <w:bookmarkEnd w:id="15"/>
      <w:bookmarkEnd w:id="16"/>
      <w:bookmarkEnd w:id="17"/>
      <w:bookmarkEnd w:id="18"/>
      <w:bookmarkEnd w:id="19"/>
      <w:r>
        <w:rPr>
          <w:rFonts w:hint="eastAsia" w:ascii="宋体" w:hAnsi="宋体" w:cs="宋体"/>
          <w:b/>
          <w:bCs/>
          <w:color w:val="auto"/>
          <w:highlight w:val="none"/>
        </w:rPr>
        <w:t>采购文件</w:t>
      </w:r>
    </w:p>
    <w:p w14:paraId="7C3F473A">
      <w:pPr>
        <w:pageBreakBefore w:val="0"/>
        <w:kinsoku/>
        <w:wordWrap/>
        <w:overflowPunct/>
        <w:topLinePunct w:val="0"/>
        <w:autoSpaceDE/>
        <w:autoSpaceDN/>
        <w:bidi w:val="0"/>
        <w:adjustRightInd/>
        <w:snapToGrid/>
        <w:spacing w:line="300" w:lineRule="auto"/>
        <w:ind w:firstLine="540"/>
        <w:textAlignment w:val="auto"/>
        <w:rPr>
          <w:rFonts w:hint="eastAsia" w:ascii="宋体" w:hAnsi="宋体" w:cs="宋体"/>
          <w:b w:val="0"/>
          <w:bCs w:val="0"/>
          <w:color w:val="auto"/>
          <w:highlight w:val="none"/>
        </w:rPr>
      </w:pPr>
      <w:bookmarkStart w:id="21" w:name="_Toc28359005"/>
      <w:bookmarkStart w:id="22" w:name="_Toc28359082"/>
      <w:bookmarkStart w:id="23" w:name="_Toc35393793"/>
      <w:bookmarkStart w:id="24" w:name="_Toc38985266"/>
      <w:bookmarkStart w:id="25" w:name="_Toc35393624"/>
      <w:r>
        <w:rPr>
          <w:rFonts w:hint="eastAsia" w:ascii="宋体" w:hAnsi="宋体" w:cs="宋体"/>
          <w:b w:val="0"/>
          <w:bCs w:val="0"/>
          <w:color w:val="auto"/>
          <w:highlight w:val="none"/>
        </w:rPr>
        <w:t>1.时间：自采购文件公告发布之日起5个工作日。</w:t>
      </w:r>
    </w:p>
    <w:p w14:paraId="4B68CAE9">
      <w:pPr>
        <w:pageBreakBefore w:val="0"/>
        <w:kinsoku/>
        <w:wordWrap/>
        <w:overflowPunct/>
        <w:topLinePunct w:val="0"/>
        <w:autoSpaceDE/>
        <w:autoSpaceDN/>
        <w:bidi w:val="0"/>
        <w:adjustRightInd/>
        <w:snapToGrid/>
        <w:spacing w:line="300" w:lineRule="auto"/>
        <w:ind w:firstLine="540"/>
        <w:textAlignment w:val="auto"/>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2.</w:t>
      </w:r>
      <w:r>
        <w:rPr>
          <w:rFonts w:hint="eastAsia" w:ascii="宋体" w:hAnsi="宋体"/>
          <w:b w:val="0"/>
          <w:bCs w:val="0"/>
          <w:color w:val="auto"/>
          <w:szCs w:val="21"/>
          <w:highlight w:val="none"/>
        </w:rPr>
        <w:t>地点:“苏采云”政府采购一体化平台</w:t>
      </w:r>
    </w:p>
    <w:p w14:paraId="58CEB11B">
      <w:pPr>
        <w:pageBreakBefore w:val="0"/>
        <w:kinsoku/>
        <w:wordWrap/>
        <w:overflowPunct/>
        <w:topLinePunct w:val="0"/>
        <w:autoSpaceDE/>
        <w:autoSpaceDN/>
        <w:bidi w:val="0"/>
        <w:adjustRightInd/>
        <w:snapToGrid/>
        <w:spacing w:line="300" w:lineRule="auto"/>
        <w:ind w:firstLine="540"/>
        <w:textAlignment w:val="auto"/>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3.</w:t>
      </w:r>
      <w:r>
        <w:rPr>
          <w:rFonts w:hint="eastAsia" w:ascii="宋体" w:hAnsi="宋体"/>
          <w:b w:val="0"/>
          <w:bCs w:val="0"/>
          <w:color w:val="auto"/>
          <w:szCs w:val="21"/>
          <w:highlight w:val="none"/>
        </w:rPr>
        <w:t>方式:“苏采云”政府采购一体化平台自行免费下载</w:t>
      </w:r>
    </w:p>
    <w:p w14:paraId="62AE1F9B">
      <w:pPr>
        <w:pageBreakBefore w:val="0"/>
        <w:kinsoku/>
        <w:wordWrap/>
        <w:overflowPunct/>
        <w:topLinePunct w:val="0"/>
        <w:autoSpaceDE/>
        <w:autoSpaceDN/>
        <w:bidi w:val="0"/>
        <w:adjustRightInd/>
        <w:snapToGrid/>
        <w:spacing w:line="300" w:lineRule="auto"/>
        <w:ind w:firstLine="540"/>
        <w:textAlignment w:val="auto"/>
        <w:rPr>
          <w:rFonts w:ascii="宋体" w:hAnsi="宋体"/>
          <w:b w:val="0"/>
          <w:bCs w:val="0"/>
          <w:color w:val="auto"/>
          <w:sz w:val="24"/>
          <w:szCs w:val="24"/>
          <w:highlight w:val="none"/>
        </w:rPr>
      </w:pPr>
      <w:r>
        <w:rPr>
          <w:rFonts w:hint="eastAsia" w:ascii="宋体" w:hAnsi="宋体"/>
          <w:b w:val="0"/>
          <w:bCs w:val="0"/>
          <w:color w:val="auto"/>
          <w:szCs w:val="21"/>
          <w:highlight w:val="none"/>
          <w:lang w:val="en-US" w:eastAsia="zh-CN"/>
        </w:rPr>
        <w:t>4.</w:t>
      </w:r>
      <w:r>
        <w:rPr>
          <w:rFonts w:hint="eastAsia" w:ascii="宋体" w:hAnsi="宋体"/>
          <w:b w:val="0"/>
          <w:bCs w:val="0"/>
          <w:color w:val="auto"/>
          <w:szCs w:val="21"/>
          <w:highlight w:val="none"/>
        </w:rPr>
        <w:t>售价:0.00元</w:t>
      </w:r>
    </w:p>
    <w:p w14:paraId="39E6A818">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color w:val="auto"/>
          <w:highlight w:val="none"/>
        </w:rPr>
      </w:pPr>
      <w:r>
        <w:rPr>
          <w:rFonts w:hint="eastAsia" w:ascii="宋体" w:hAnsi="宋体" w:cs="宋体"/>
          <w:b/>
          <w:bCs/>
          <w:color w:val="auto"/>
          <w:highlight w:val="none"/>
        </w:rPr>
        <w:t>四、提交投标文件</w:t>
      </w:r>
      <w:bookmarkEnd w:id="21"/>
      <w:bookmarkEnd w:id="22"/>
      <w:r>
        <w:rPr>
          <w:rFonts w:hint="eastAsia" w:ascii="宋体" w:hAnsi="宋体" w:cs="宋体"/>
          <w:b/>
          <w:bCs/>
          <w:color w:val="auto"/>
          <w:highlight w:val="none"/>
        </w:rPr>
        <w:t>截止时间、开标时间和地点</w:t>
      </w:r>
      <w:bookmarkEnd w:id="23"/>
      <w:bookmarkEnd w:id="24"/>
      <w:bookmarkEnd w:id="25"/>
    </w:p>
    <w:p w14:paraId="527F2B65">
      <w:pPr>
        <w:pageBreakBefore w:val="0"/>
        <w:kinsoku/>
        <w:wordWrap/>
        <w:overflowPunct/>
        <w:topLinePunct w:val="0"/>
        <w:autoSpaceDE/>
        <w:autoSpaceDN/>
        <w:bidi w:val="0"/>
        <w:adjustRightInd/>
        <w:snapToGrid/>
        <w:spacing w:line="300" w:lineRule="auto"/>
        <w:ind w:firstLine="420"/>
        <w:textAlignment w:val="auto"/>
        <w:rPr>
          <w:rFonts w:ascii="宋体" w:hAnsi="宋体" w:cs="宋体"/>
          <w:bCs/>
          <w:color w:val="auto"/>
          <w:szCs w:val="21"/>
          <w:highlight w:val="none"/>
          <w:u w:val="single"/>
        </w:rPr>
      </w:pPr>
      <w:r>
        <w:rPr>
          <w:rFonts w:hint="eastAsia" w:ascii="宋体" w:hAnsi="宋体" w:cs="宋体"/>
          <w:color w:val="auto"/>
          <w:highlight w:val="none"/>
        </w:rPr>
        <w:t>1.时间：</w:t>
      </w:r>
      <w:r>
        <w:rPr>
          <w:rFonts w:hint="eastAsia" w:ascii="宋体" w:hAnsi="宋体" w:cs="宋体"/>
          <w:color w:val="auto"/>
          <w:highlight w:val="none"/>
          <w:u w:val="single"/>
        </w:rPr>
        <w:t>2025年</w:t>
      </w:r>
      <w:r>
        <w:rPr>
          <w:rFonts w:hint="eastAsia" w:ascii="宋体" w:hAnsi="宋体" w:cs="宋体"/>
          <w:color w:val="auto"/>
          <w:highlight w:val="none"/>
          <w:u w:val="single"/>
          <w:lang w:val="en-US" w:eastAsia="zh-CN"/>
        </w:rPr>
        <w:t>12</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17</w:t>
      </w:r>
      <w:r>
        <w:rPr>
          <w:rFonts w:hint="eastAsia" w:ascii="宋体" w:hAnsi="宋体" w:cs="宋体"/>
          <w:color w:val="auto"/>
          <w:highlight w:val="none"/>
          <w:u w:val="single"/>
        </w:rPr>
        <w:t>日</w:t>
      </w:r>
      <w:r>
        <w:rPr>
          <w:rFonts w:hint="eastAsia" w:ascii="宋体" w:hAnsi="宋体" w:cs="宋体"/>
          <w:color w:val="auto"/>
          <w:highlight w:val="none"/>
          <w:u w:val="single"/>
          <w:lang w:val="en-US" w:eastAsia="zh-CN"/>
        </w:rPr>
        <w:t>下</w:t>
      </w:r>
      <w:r>
        <w:rPr>
          <w:rFonts w:hint="eastAsia" w:ascii="宋体" w:hAnsi="宋体" w:cs="宋体"/>
          <w:color w:val="auto"/>
          <w:highlight w:val="none"/>
          <w:u w:val="single"/>
        </w:rPr>
        <w:t>午</w:t>
      </w:r>
      <w:r>
        <w:rPr>
          <w:rFonts w:hint="eastAsia" w:ascii="宋体" w:hAnsi="宋体" w:cs="宋体"/>
          <w:color w:val="auto"/>
          <w:highlight w:val="none"/>
          <w:u w:val="single"/>
          <w:lang w:val="en-US" w:eastAsia="zh-CN"/>
        </w:rPr>
        <w:t>15</w:t>
      </w:r>
      <w:r>
        <w:rPr>
          <w:rFonts w:hint="eastAsia" w:ascii="宋体" w:hAnsi="宋体" w:cs="宋体"/>
          <w:color w:val="auto"/>
          <w:highlight w:val="none"/>
          <w:u w:val="single"/>
        </w:rPr>
        <w:t>时</w:t>
      </w:r>
      <w:r>
        <w:rPr>
          <w:rFonts w:hint="eastAsia" w:ascii="宋体" w:hAnsi="宋体" w:cs="宋体"/>
          <w:color w:val="auto"/>
          <w:highlight w:val="none"/>
          <w:u w:val="single"/>
          <w:lang w:val="en-US" w:eastAsia="zh-CN"/>
        </w:rPr>
        <w:t>00</w:t>
      </w:r>
      <w:r>
        <w:rPr>
          <w:rFonts w:hint="eastAsia" w:ascii="宋体" w:hAnsi="宋体" w:cs="宋体"/>
          <w:color w:val="auto"/>
          <w:highlight w:val="none"/>
          <w:u w:val="single"/>
        </w:rPr>
        <w:t>分</w:t>
      </w:r>
      <w:r>
        <w:rPr>
          <w:rFonts w:hint="eastAsia" w:ascii="宋体" w:hAnsi="宋体" w:cs="宋体"/>
          <w:color w:val="auto"/>
          <w:highlight w:val="none"/>
        </w:rPr>
        <w:t>（北京时间）</w:t>
      </w:r>
    </w:p>
    <w:p w14:paraId="553008C8">
      <w:pPr>
        <w:pageBreakBefore w:val="0"/>
        <w:kinsoku/>
        <w:wordWrap/>
        <w:overflowPunct/>
        <w:topLinePunct w:val="0"/>
        <w:autoSpaceDE/>
        <w:autoSpaceDN/>
        <w:bidi w:val="0"/>
        <w:adjustRightInd/>
        <w:snapToGrid/>
        <w:spacing w:line="300" w:lineRule="auto"/>
        <w:ind w:firstLine="420"/>
        <w:textAlignment w:val="auto"/>
        <w:rPr>
          <w:rFonts w:ascii="宋体" w:hAnsi="宋体" w:cs="宋体"/>
          <w:bCs/>
          <w:color w:val="auto"/>
          <w:highlight w:val="none"/>
          <w:u w:val="single"/>
        </w:rPr>
      </w:pPr>
      <w:r>
        <w:rPr>
          <w:rFonts w:hint="eastAsia" w:ascii="宋体" w:hAnsi="宋体" w:cs="宋体"/>
          <w:color w:val="auto"/>
          <w:highlight w:val="none"/>
        </w:rPr>
        <w:t>2.开标地点：</w:t>
      </w:r>
      <w:r>
        <w:rPr>
          <w:rFonts w:hint="eastAsia" w:ascii="宋体" w:hAnsi="宋体"/>
          <w:b/>
          <w:color w:val="auto"/>
          <w:szCs w:val="21"/>
          <w:highlight w:val="none"/>
        </w:rPr>
        <w:t>“苏采云”系统（网址：http://jszfcg.jsczt.cn/）“开标大厅”</w:t>
      </w:r>
    </w:p>
    <w:p w14:paraId="02243DDD">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color w:val="auto"/>
          <w:highlight w:val="none"/>
        </w:rPr>
      </w:pPr>
      <w:bookmarkStart w:id="26" w:name="_Toc35393794"/>
      <w:bookmarkStart w:id="27" w:name="_Toc28359007"/>
      <w:bookmarkStart w:id="28" w:name="_Toc38985267"/>
      <w:bookmarkStart w:id="29" w:name="_Toc35393625"/>
      <w:bookmarkStart w:id="30" w:name="_Toc28359084"/>
      <w:r>
        <w:rPr>
          <w:rFonts w:hint="eastAsia" w:ascii="宋体" w:hAnsi="宋体" w:cs="宋体"/>
          <w:b/>
          <w:bCs/>
          <w:color w:val="auto"/>
          <w:highlight w:val="none"/>
        </w:rPr>
        <w:t>五、公告期限</w:t>
      </w:r>
      <w:bookmarkEnd w:id="26"/>
      <w:bookmarkEnd w:id="27"/>
      <w:bookmarkEnd w:id="28"/>
      <w:bookmarkEnd w:id="29"/>
      <w:bookmarkEnd w:id="30"/>
    </w:p>
    <w:p w14:paraId="607FE641">
      <w:pPr>
        <w:pageBreakBefore w:val="0"/>
        <w:kinsoku/>
        <w:wordWrap/>
        <w:overflowPunct/>
        <w:topLinePunct w:val="0"/>
        <w:autoSpaceDE/>
        <w:autoSpaceDN/>
        <w:bidi w:val="0"/>
        <w:adjustRightInd/>
        <w:snapToGrid/>
        <w:spacing w:line="300" w:lineRule="auto"/>
        <w:ind w:firstLine="420"/>
        <w:textAlignment w:val="auto"/>
        <w:rPr>
          <w:rFonts w:ascii="宋体" w:hAnsi="宋体" w:cs="宋体"/>
          <w:color w:val="auto"/>
          <w:highlight w:val="none"/>
        </w:rPr>
      </w:pPr>
      <w:bookmarkStart w:id="31" w:name="_Toc35393795"/>
      <w:bookmarkStart w:id="32" w:name="_Toc35393626"/>
      <w:bookmarkStart w:id="33" w:name="_Toc38985268"/>
      <w:r>
        <w:rPr>
          <w:rFonts w:hint="eastAsia" w:ascii="宋体" w:hAnsi="宋体" w:cs="宋体"/>
          <w:color w:val="auto"/>
          <w:highlight w:val="none"/>
        </w:rPr>
        <w:t>自本公告发布之日起5个工作日。</w:t>
      </w:r>
    </w:p>
    <w:p w14:paraId="3EE9A09D">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color w:val="auto"/>
          <w:highlight w:val="none"/>
        </w:rPr>
      </w:pPr>
      <w:r>
        <w:rPr>
          <w:rFonts w:hint="eastAsia" w:ascii="宋体" w:hAnsi="宋体" w:cs="宋体"/>
          <w:b/>
          <w:bCs/>
          <w:color w:val="auto"/>
          <w:highlight w:val="none"/>
        </w:rPr>
        <w:t>六、其他补充事宜</w:t>
      </w:r>
      <w:bookmarkEnd w:id="31"/>
      <w:bookmarkEnd w:id="32"/>
      <w:bookmarkEnd w:id="33"/>
    </w:p>
    <w:p w14:paraId="08ECC82E">
      <w:pPr>
        <w:pageBreakBefore w:val="0"/>
        <w:kinsoku/>
        <w:wordWrap/>
        <w:overflowPunct/>
        <w:topLinePunct w:val="0"/>
        <w:autoSpaceDE/>
        <w:autoSpaceDN/>
        <w:bidi w:val="0"/>
        <w:adjustRightInd/>
        <w:snapToGrid/>
        <w:spacing w:line="300" w:lineRule="auto"/>
        <w:ind w:firstLine="540"/>
        <w:textAlignment w:val="auto"/>
        <w:rPr>
          <w:rFonts w:ascii="宋体" w:hAnsi="宋体" w:cs="宋体"/>
          <w:b w:val="0"/>
          <w:bCs w:val="0"/>
          <w:color w:val="auto"/>
          <w:highlight w:val="none"/>
        </w:rPr>
      </w:pPr>
      <w:bookmarkStart w:id="34" w:name="_Toc38985269"/>
      <w:bookmarkStart w:id="35" w:name="_Toc28359008"/>
      <w:bookmarkStart w:id="36" w:name="_Toc35393796"/>
      <w:bookmarkStart w:id="37" w:name="_Toc28359085"/>
      <w:bookmarkStart w:id="38" w:name="_Toc35393627"/>
      <w:r>
        <w:rPr>
          <w:rFonts w:hint="eastAsia" w:ascii="宋体" w:hAnsi="宋体" w:cs="宋体"/>
          <w:b w:val="0"/>
          <w:bCs w:val="0"/>
          <w:color w:val="auto"/>
          <w:highlight w:val="none"/>
          <w:lang w:eastAsia="zh-CN"/>
        </w:rPr>
        <w:t>（</w:t>
      </w:r>
      <w:r>
        <w:rPr>
          <w:rFonts w:hint="eastAsia" w:ascii="宋体" w:hAnsi="宋体" w:cs="宋体"/>
          <w:b w:val="0"/>
          <w:bCs w:val="0"/>
          <w:color w:val="auto"/>
          <w:highlight w:val="none"/>
          <w:lang w:val="en-US" w:eastAsia="zh-CN"/>
        </w:rPr>
        <w:t>一</w:t>
      </w:r>
      <w:r>
        <w:rPr>
          <w:rFonts w:hint="eastAsia" w:ascii="宋体" w:hAnsi="宋体" w:cs="宋体"/>
          <w:b w:val="0"/>
          <w:bCs w:val="0"/>
          <w:color w:val="auto"/>
          <w:highlight w:val="none"/>
          <w:lang w:eastAsia="zh-CN"/>
        </w:rPr>
        <w:t>）</w:t>
      </w:r>
      <w:r>
        <w:rPr>
          <w:rFonts w:hint="eastAsia" w:ascii="宋体" w:hAnsi="宋体" w:cs="宋体"/>
          <w:b w:val="0"/>
          <w:bCs w:val="0"/>
          <w:color w:val="auto"/>
          <w:highlight w:val="none"/>
        </w:rPr>
        <w:t>潜在投标人访问</w:t>
      </w:r>
      <w:r>
        <w:rPr>
          <w:rFonts w:hint="eastAsia" w:ascii="宋体" w:hAnsi="宋体"/>
          <w:b w:val="0"/>
          <w:bCs w:val="0"/>
          <w:color w:val="auto"/>
          <w:szCs w:val="21"/>
          <w:highlight w:val="none"/>
        </w:rPr>
        <w:t>政府采购管理交易系统（苏采云）</w:t>
      </w:r>
      <w:r>
        <w:rPr>
          <w:rFonts w:hint="eastAsia" w:ascii="宋体" w:hAnsi="宋体" w:cs="宋体"/>
          <w:b w:val="0"/>
          <w:bCs w:val="0"/>
          <w:color w:val="auto"/>
          <w:highlight w:val="none"/>
        </w:rPr>
        <w:t>的网络地址和方法：</w:t>
      </w:r>
    </w:p>
    <w:p w14:paraId="09015E1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1.</w:t>
      </w:r>
      <w:r>
        <w:rPr>
          <w:rFonts w:hint="eastAsia" w:ascii="宋体" w:hAnsi="宋体" w:cs="宋体"/>
          <w:b w:val="0"/>
          <w:bCs w:val="0"/>
          <w:color w:val="auto"/>
          <w:highlight w:val="none"/>
        </w:rPr>
        <w:t>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FF2D9F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2.</w:t>
      </w:r>
      <w:r>
        <w:rPr>
          <w:rFonts w:hint="eastAsia" w:ascii="宋体" w:hAnsi="宋体" w:cs="宋体"/>
          <w:b w:val="0"/>
          <w:bCs w:val="0"/>
          <w:color w:val="auto"/>
          <w:highlight w:val="none"/>
        </w:rPr>
        <w:t>“CA数字证书”的获取：供应商需办理CA锁，“苏采云”系统目前仅支持“苏采云”系统下的政务CA，省内各地区办理的“苏采云”系统下的政务CA全省通用。</w:t>
      </w:r>
    </w:p>
    <w:p w14:paraId="7095CD2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3.</w:t>
      </w:r>
      <w:r>
        <w:rPr>
          <w:rFonts w:hint="eastAsia" w:ascii="宋体" w:hAnsi="宋体" w:cs="宋体"/>
          <w:b w:val="0"/>
          <w:bCs w:val="0"/>
          <w:color w:val="auto"/>
          <w:highlight w:val="none"/>
        </w:rPr>
        <w:t>“CA数字证书”的办理材料以及供应商操作手册详见：</w:t>
      </w:r>
    </w:p>
    <w:p w14:paraId="28F452C2">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color w:val="auto"/>
          <w:highlight w:val="none"/>
        </w:rPr>
      </w:pPr>
      <w:r>
        <w:rPr>
          <w:rFonts w:ascii="宋体" w:hAnsi="宋体" w:cs="宋体"/>
          <w:b w:val="0"/>
          <w:bCs w:val="0"/>
          <w:color w:val="auto"/>
          <w:highlight w:val="none"/>
        </w:rPr>
        <w:t>http://zfcg.yangzhou.gov.cn/xzzx/art/2023/art_4d7de1f7865f4a2894fc22bc452f94d8.html</w:t>
      </w:r>
      <w:r>
        <w:rPr>
          <w:rFonts w:hint="eastAsia" w:ascii="宋体" w:hAnsi="宋体" w:cs="宋体"/>
          <w:b w:val="0"/>
          <w:bCs w:val="0"/>
          <w:color w:val="auto"/>
          <w:highlight w:val="none"/>
        </w:rPr>
        <w:t>。</w:t>
      </w:r>
    </w:p>
    <w:p w14:paraId="3C1F6A1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4.</w:t>
      </w:r>
      <w:r>
        <w:rPr>
          <w:rFonts w:hint="eastAsia" w:ascii="宋体" w:hAnsi="宋体" w:cs="宋体"/>
          <w:b w:val="0"/>
          <w:bCs w:val="0"/>
          <w:color w:val="auto"/>
          <w:highlight w:val="none"/>
        </w:rPr>
        <w:t>潜在供应商访问“苏采云”系统的网络地址和方法：“苏采云”系统的网址：http://jszfcg.jsczt.cn/。</w:t>
      </w:r>
    </w:p>
    <w:p w14:paraId="33EF955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5.</w:t>
      </w:r>
      <w:r>
        <w:rPr>
          <w:rFonts w:hint="eastAsia" w:ascii="宋体" w:hAnsi="宋体" w:cs="宋体"/>
          <w:b w:val="0"/>
          <w:bCs w:val="0"/>
          <w:color w:val="auto"/>
          <w:highlight w:val="none"/>
        </w:rPr>
        <w:t>采购文件（后缀名为“.kedt”）、供应商操作手册及政府采购客户端工具也可通过“苏采云”系统--已报名项目--报名详情页面内相应链接进行下载。</w:t>
      </w:r>
    </w:p>
    <w:p w14:paraId="1F57315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6.</w:t>
      </w:r>
      <w:r>
        <w:rPr>
          <w:rFonts w:hint="eastAsia" w:ascii="宋体" w:hAnsi="宋体" w:cs="宋体"/>
          <w:b w:val="0"/>
          <w:bCs w:val="0"/>
          <w:color w:val="auto"/>
          <w:highlight w:val="none"/>
        </w:rPr>
        <w:t>招标代理机构（采购代理机构）将数据电文形式的采购文件加载至“苏采云”系统，供潜在供应商下载或者查阅。</w:t>
      </w:r>
    </w:p>
    <w:p w14:paraId="42E84BD4">
      <w:pPr>
        <w:pageBreakBefore w:val="0"/>
        <w:tabs>
          <w:tab w:val="left" w:pos="266"/>
        </w:tabs>
        <w:kinsoku/>
        <w:wordWrap/>
        <w:overflowPunct/>
        <w:topLinePunct w:val="0"/>
        <w:autoSpaceDE/>
        <w:autoSpaceDN/>
        <w:bidi w:val="0"/>
        <w:adjustRightInd/>
        <w:snapToGrid/>
        <w:spacing w:line="300" w:lineRule="auto"/>
        <w:textAlignment w:val="auto"/>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ab/>
      </w:r>
      <w:r>
        <w:rPr>
          <w:rFonts w:hint="eastAsia" w:ascii="宋体" w:hAnsi="宋体" w:cs="宋体"/>
          <w:b w:val="0"/>
          <w:bCs w:val="0"/>
          <w:color w:val="auto"/>
          <w:highlight w:val="none"/>
          <w:lang w:val="en-US" w:eastAsia="zh-CN"/>
        </w:rPr>
        <w:tab/>
      </w:r>
      <w:r>
        <w:rPr>
          <w:rFonts w:hint="eastAsia" w:ascii="宋体" w:hAnsi="宋体" w:cs="宋体"/>
          <w:b w:val="0"/>
          <w:bCs w:val="0"/>
          <w:color w:val="auto"/>
          <w:highlight w:val="none"/>
          <w:lang w:val="en-US" w:eastAsia="zh-CN"/>
        </w:rPr>
        <w:tab/>
      </w:r>
      <w:r>
        <w:rPr>
          <w:rFonts w:hint="eastAsia" w:ascii="宋体" w:hAnsi="宋体" w:cs="宋体"/>
          <w:b w:val="0"/>
          <w:bCs w:val="0"/>
          <w:color w:val="auto"/>
          <w:highlight w:val="none"/>
          <w:lang w:val="en-US" w:eastAsia="zh-CN"/>
        </w:rPr>
        <w:t xml:space="preserve">  7.</w:t>
      </w:r>
      <w:r>
        <w:rPr>
          <w:rFonts w:hint="eastAsia" w:ascii="宋体" w:hAnsi="宋体" w:cs="宋体"/>
          <w:b w:val="0"/>
          <w:bCs w:val="0"/>
          <w:color w:val="auto"/>
          <w:highlight w:val="none"/>
        </w:rPr>
        <w:t>苏采云系统使用谷歌浏览器参与不见面开标。</w:t>
      </w:r>
    </w:p>
    <w:p w14:paraId="1833CAAC">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color w:val="auto"/>
          <w:highlight w:val="none"/>
        </w:rPr>
      </w:pPr>
      <w:r>
        <w:rPr>
          <w:rFonts w:hint="eastAsia" w:ascii="宋体" w:hAnsi="宋体" w:cs="宋体"/>
          <w:b/>
          <w:bCs/>
          <w:color w:val="auto"/>
          <w:highlight w:val="none"/>
        </w:rPr>
        <w:t>七、</w:t>
      </w:r>
      <w:bookmarkEnd w:id="34"/>
      <w:bookmarkEnd w:id="35"/>
      <w:bookmarkEnd w:id="36"/>
      <w:bookmarkEnd w:id="37"/>
      <w:bookmarkEnd w:id="38"/>
      <w:r>
        <w:rPr>
          <w:rFonts w:hint="eastAsia" w:ascii="宋体" w:hAnsi="宋体" w:cs="宋体"/>
          <w:b/>
          <w:bCs/>
          <w:color w:val="auto"/>
          <w:highlight w:val="none"/>
        </w:rPr>
        <w:t>对本次招标提出询问，请按以下方式联系。</w:t>
      </w:r>
    </w:p>
    <w:p w14:paraId="5CE3E7A0">
      <w:pPr>
        <w:pageBreakBefore w:val="0"/>
        <w:widowControl/>
        <w:kinsoku/>
        <w:wordWrap/>
        <w:overflowPunct/>
        <w:topLinePunct w:val="0"/>
        <w:autoSpaceDE/>
        <w:autoSpaceDN/>
        <w:bidi w:val="0"/>
        <w:adjustRightInd/>
        <w:snapToGrid/>
        <w:spacing w:line="300" w:lineRule="auto"/>
        <w:ind w:firstLine="420"/>
        <w:jc w:val="left"/>
        <w:textAlignment w:val="auto"/>
        <w:rPr>
          <w:rFonts w:ascii="宋体" w:hAnsi="宋体" w:cs="宋体"/>
          <w:color w:val="auto"/>
          <w:szCs w:val="21"/>
          <w:highlight w:val="none"/>
        </w:rPr>
      </w:pPr>
      <w:r>
        <w:rPr>
          <w:rFonts w:hint="eastAsia" w:ascii="宋体" w:hAnsi="宋体" w:cs="宋体"/>
          <w:color w:val="auto"/>
          <w:highlight w:val="none"/>
        </w:rPr>
        <w:t>1.采购人信息</w:t>
      </w:r>
    </w:p>
    <w:p w14:paraId="2906F620">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cs="宋体"/>
          <w:color w:val="auto"/>
          <w:highlight w:val="none"/>
          <w:lang w:eastAsia="zh-CN"/>
        </w:rPr>
      </w:pPr>
      <w:bookmarkStart w:id="39" w:name="_Toc28359009"/>
      <w:bookmarkStart w:id="40" w:name="_Toc28359086"/>
      <w:r>
        <w:rPr>
          <w:rFonts w:hint="eastAsia" w:ascii="宋体" w:hAnsi="宋体" w:cs="宋体"/>
          <w:color w:val="auto"/>
          <w:highlight w:val="none"/>
        </w:rPr>
        <w:t>名称：</w:t>
      </w:r>
      <w:r>
        <w:rPr>
          <w:rFonts w:hint="eastAsia" w:ascii="宋体" w:hAnsi="宋体" w:cs="宋体"/>
          <w:color w:val="auto"/>
          <w:highlight w:val="none"/>
          <w:lang w:eastAsia="zh-CN"/>
        </w:rPr>
        <w:t>仪征市中医院</w:t>
      </w:r>
    </w:p>
    <w:p w14:paraId="50531AE3">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cs="宋体"/>
          <w:color w:val="auto"/>
          <w:highlight w:val="none"/>
          <w:lang w:eastAsia="zh-CN"/>
        </w:rPr>
      </w:pPr>
      <w:r>
        <w:rPr>
          <w:rFonts w:hint="eastAsia" w:ascii="宋体" w:hAnsi="宋体" w:cs="宋体"/>
          <w:color w:val="auto"/>
          <w:highlight w:val="none"/>
        </w:rPr>
        <w:t>地址：</w:t>
      </w:r>
      <w:r>
        <w:rPr>
          <w:rFonts w:hint="eastAsia" w:ascii="宋体" w:hAnsi="宋体" w:cs="宋体"/>
          <w:color w:val="auto"/>
          <w:highlight w:val="none"/>
          <w:lang w:eastAsia="zh-CN"/>
        </w:rPr>
        <w:t>仪征市沿山河路899号</w:t>
      </w:r>
    </w:p>
    <w:p w14:paraId="3B31D1C7">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cs="宋体"/>
          <w:color w:val="auto"/>
          <w:highlight w:val="none"/>
        </w:rPr>
      </w:pPr>
      <w:r>
        <w:rPr>
          <w:rFonts w:hint="eastAsia" w:ascii="宋体" w:hAnsi="宋体" w:cs="宋体"/>
          <w:color w:val="auto"/>
          <w:highlight w:val="none"/>
        </w:rPr>
        <w:t>联系人：王鹏洲</w:t>
      </w:r>
    </w:p>
    <w:p w14:paraId="50A5156A">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cs="宋体"/>
          <w:color w:val="auto"/>
          <w:highlight w:val="none"/>
        </w:rPr>
      </w:pPr>
      <w:r>
        <w:rPr>
          <w:rFonts w:hint="eastAsia" w:ascii="宋体" w:hAnsi="宋体" w:cs="宋体"/>
          <w:color w:val="auto"/>
          <w:highlight w:val="none"/>
        </w:rPr>
        <w:t>联系方式：0514-80856318</w:t>
      </w:r>
    </w:p>
    <w:p w14:paraId="2C40FF07">
      <w:pPr>
        <w:pageBreakBefore w:val="0"/>
        <w:kinsoku/>
        <w:wordWrap/>
        <w:overflowPunct/>
        <w:topLinePunct w:val="0"/>
        <w:autoSpaceDE/>
        <w:autoSpaceDN/>
        <w:bidi w:val="0"/>
        <w:adjustRightInd/>
        <w:snapToGrid/>
        <w:spacing w:line="300" w:lineRule="auto"/>
        <w:ind w:firstLine="420"/>
        <w:jc w:val="left"/>
        <w:textAlignment w:val="auto"/>
        <w:rPr>
          <w:rFonts w:ascii="宋体" w:hAnsi="宋体" w:cs="宋体"/>
          <w:color w:val="auto"/>
          <w:highlight w:val="none"/>
        </w:rPr>
      </w:pPr>
      <w:r>
        <w:rPr>
          <w:rFonts w:hint="eastAsia" w:ascii="宋体" w:hAnsi="宋体" w:cs="宋体"/>
          <w:color w:val="auto"/>
          <w:highlight w:val="none"/>
          <w:lang w:val="en-US" w:eastAsia="zh-CN"/>
        </w:rPr>
        <w:t>2.采购</w:t>
      </w:r>
      <w:r>
        <w:rPr>
          <w:rFonts w:hint="eastAsia" w:ascii="宋体" w:hAnsi="宋体" w:cs="宋体"/>
          <w:color w:val="auto"/>
          <w:highlight w:val="none"/>
        </w:rPr>
        <w:t>代理机构信息</w:t>
      </w:r>
      <w:bookmarkEnd w:id="39"/>
      <w:bookmarkEnd w:id="40"/>
    </w:p>
    <w:p w14:paraId="72EB75CA">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cs="宋体"/>
          <w:color w:val="auto"/>
          <w:highlight w:val="none"/>
        </w:rPr>
      </w:pPr>
      <w:bookmarkStart w:id="41" w:name="_Toc28359010"/>
      <w:bookmarkStart w:id="42" w:name="_Toc28359087"/>
      <w:r>
        <w:rPr>
          <w:rFonts w:hint="eastAsia" w:ascii="宋体" w:hAnsi="宋体" w:cs="宋体"/>
          <w:color w:val="auto"/>
          <w:highlight w:val="none"/>
        </w:rPr>
        <w:t>地址：扬州市邗江区文昌西路456号（华城科技广场）2幢703室</w:t>
      </w:r>
    </w:p>
    <w:p w14:paraId="42D1FA6F">
      <w:pPr>
        <w:pageBreakBefore w:val="0"/>
        <w:widowControl/>
        <w:kinsoku/>
        <w:wordWrap/>
        <w:overflowPunct/>
        <w:topLinePunct w:val="0"/>
        <w:autoSpaceDE/>
        <w:autoSpaceDN/>
        <w:bidi w:val="0"/>
        <w:adjustRightInd/>
        <w:snapToGrid/>
        <w:spacing w:line="300" w:lineRule="auto"/>
        <w:ind w:firstLine="420"/>
        <w:jc w:val="left"/>
        <w:textAlignment w:val="auto"/>
        <w:rPr>
          <w:rFonts w:hint="default" w:ascii="宋体" w:hAnsi="宋体" w:cs="宋体"/>
          <w:color w:val="auto"/>
          <w:highlight w:val="none"/>
          <w:lang w:val="en-US" w:eastAsia="zh-CN"/>
        </w:rPr>
      </w:pPr>
      <w:r>
        <w:rPr>
          <w:rFonts w:hint="eastAsia" w:ascii="宋体" w:hAnsi="宋体" w:cs="宋体"/>
          <w:color w:val="auto"/>
          <w:highlight w:val="none"/>
        </w:rPr>
        <w:t>联系人：池昊15862877288、谢慧玲、王芳（采购代理机构）025-83200601、18362980687</w:t>
      </w:r>
    </w:p>
    <w:p w14:paraId="42F741CC">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cs="宋体"/>
          <w:color w:val="auto"/>
          <w:highlight w:val="none"/>
          <w:lang w:eastAsia="zh-CN"/>
        </w:rPr>
      </w:pPr>
      <w:r>
        <w:rPr>
          <w:rFonts w:hint="eastAsia" w:ascii="宋体" w:hAnsi="宋体" w:cs="宋体"/>
          <w:color w:val="auto"/>
          <w:highlight w:val="none"/>
        </w:rPr>
        <w:t>联系方式：15862877288</w:t>
      </w:r>
    </w:p>
    <w:p w14:paraId="708CD0DA">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color w:val="auto"/>
          <w:highlight w:val="none"/>
        </w:rPr>
      </w:pPr>
      <w:r>
        <w:rPr>
          <w:rFonts w:hint="eastAsia" w:ascii="宋体" w:hAnsi="宋体" w:cs="宋体"/>
          <w:b/>
          <w:bCs/>
          <w:color w:val="auto"/>
          <w:highlight w:val="none"/>
        </w:rPr>
        <w:t>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bookmarkEnd w:id="41"/>
    <w:bookmarkEnd w:id="42"/>
    <w:p w14:paraId="32608654">
      <w:pPr>
        <w:pageBreakBefore w:val="0"/>
        <w:kinsoku/>
        <w:wordWrap/>
        <w:overflowPunct/>
        <w:topLinePunct w:val="0"/>
        <w:autoSpaceDE/>
        <w:autoSpaceDN/>
        <w:bidi w:val="0"/>
        <w:adjustRightInd/>
        <w:snapToGrid/>
        <w:spacing w:line="300" w:lineRule="auto"/>
        <w:textAlignment w:val="auto"/>
        <w:rPr>
          <w:rFonts w:ascii="宋体" w:hAnsi="宋体" w:cs="宋体"/>
          <w:b/>
          <w:bCs/>
          <w:color w:val="auto"/>
          <w:highlight w:val="none"/>
        </w:rPr>
      </w:pPr>
      <w:r>
        <w:rPr>
          <w:rFonts w:hint="eastAsia" w:ascii="宋体" w:hAnsi="宋体" w:cs="宋体"/>
          <w:b/>
          <w:bCs/>
          <w:color w:val="auto"/>
          <w:highlight w:val="none"/>
        </w:rPr>
        <w:t>九、其他</w:t>
      </w:r>
    </w:p>
    <w:p w14:paraId="430CDADB">
      <w:pPr>
        <w:pageBreakBefore w:val="0"/>
        <w:widowControl/>
        <w:kinsoku/>
        <w:wordWrap/>
        <w:overflowPunct/>
        <w:topLinePunct w:val="0"/>
        <w:autoSpaceDE/>
        <w:autoSpaceDN/>
        <w:bidi w:val="0"/>
        <w:adjustRightInd/>
        <w:snapToGrid/>
        <w:spacing w:line="300" w:lineRule="auto"/>
        <w:ind w:firstLine="422"/>
        <w:jc w:val="left"/>
        <w:textAlignment w:val="auto"/>
        <w:rPr>
          <w:rFonts w:hint="eastAsia" w:ascii="宋体" w:hAnsi="宋体"/>
          <w:b w:val="0"/>
          <w:bCs w:val="0"/>
          <w:color w:val="auto"/>
          <w:highlight w:val="none"/>
        </w:rPr>
      </w:pPr>
      <w:bookmarkStart w:id="43" w:name="_Toc55204178"/>
      <w:r>
        <w:rPr>
          <w:rFonts w:hint="eastAsia" w:ascii="宋体" w:hAnsi="宋体"/>
          <w:b w:val="0"/>
          <w:bCs w:val="0"/>
          <w:color w:val="auto"/>
          <w:highlight w:val="none"/>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539FD344">
      <w:pPr>
        <w:pageBreakBefore w:val="0"/>
        <w:widowControl/>
        <w:kinsoku/>
        <w:wordWrap/>
        <w:overflowPunct/>
        <w:topLinePunct w:val="0"/>
        <w:autoSpaceDE/>
        <w:autoSpaceDN/>
        <w:bidi w:val="0"/>
        <w:adjustRightInd/>
        <w:snapToGrid/>
        <w:spacing w:line="300" w:lineRule="auto"/>
        <w:ind w:firstLine="422"/>
        <w:jc w:val="left"/>
        <w:textAlignment w:val="auto"/>
        <w:rPr>
          <w:rFonts w:ascii="宋体" w:hAnsi="宋体"/>
          <w:b w:val="0"/>
          <w:bCs w:val="0"/>
          <w:color w:val="auto"/>
          <w:highlight w:val="none"/>
        </w:rPr>
      </w:pPr>
      <w:r>
        <w:rPr>
          <w:rFonts w:hint="eastAsia" w:ascii="宋体" w:hAnsi="宋体"/>
          <w:b w:val="0"/>
          <w:bCs w:val="0"/>
          <w:color w:val="auto"/>
          <w:highlight w:val="none"/>
        </w:rPr>
        <w:t>2.供应商如确定参加投标，可自行下载采购文件及有关资料，按照《操作手册》进行注册，领取CA和办理电子签章，并按《操作手册》要求制作、上传电子投标文件，技术支持联系方式：13813140731。</w:t>
      </w:r>
    </w:p>
    <w:p w14:paraId="2881C896">
      <w:pPr>
        <w:pageBreakBefore w:val="0"/>
        <w:widowControl/>
        <w:kinsoku/>
        <w:wordWrap/>
        <w:overflowPunct/>
        <w:topLinePunct w:val="0"/>
        <w:autoSpaceDE/>
        <w:autoSpaceDN/>
        <w:bidi w:val="0"/>
        <w:adjustRightInd/>
        <w:snapToGrid/>
        <w:spacing w:line="300" w:lineRule="auto"/>
        <w:ind w:firstLine="422"/>
        <w:jc w:val="left"/>
        <w:textAlignment w:val="auto"/>
        <w:rPr>
          <w:rFonts w:ascii="宋体" w:hAnsi="宋体" w:cs="宋体"/>
          <w:b w:val="0"/>
          <w:bCs w:val="0"/>
          <w:color w:val="auto"/>
          <w:highlight w:val="none"/>
        </w:rPr>
      </w:pPr>
      <w:r>
        <w:rPr>
          <w:rFonts w:hint="eastAsia" w:ascii="宋体" w:hAnsi="宋体" w:cs="宋体"/>
          <w:b w:val="0"/>
          <w:bCs w:val="0"/>
          <w:color w:val="auto"/>
          <w:highlight w:val="none"/>
        </w:rPr>
        <w:t>3.潜在投标人对招标文件项目需求部分的询问、质疑请向采购人提出，由采购人负责答复。</w:t>
      </w:r>
    </w:p>
    <w:p w14:paraId="60C5A38B">
      <w:pPr>
        <w:pageBreakBefore w:val="0"/>
        <w:kinsoku/>
        <w:wordWrap/>
        <w:overflowPunct/>
        <w:topLinePunct w:val="0"/>
        <w:autoSpaceDE/>
        <w:autoSpaceDN/>
        <w:bidi w:val="0"/>
        <w:adjustRightInd/>
        <w:snapToGrid/>
        <w:spacing w:line="300" w:lineRule="auto"/>
        <w:ind w:firstLine="420"/>
        <w:textAlignment w:val="auto"/>
        <w:rPr>
          <w:rFonts w:ascii="宋体" w:hAnsi="宋体" w:cs="宋体"/>
          <w:b w:val="0"/>
          <w:bCs w:val="0"/>
          <w:color w:val="auto"/>
          <w:highlight w:val="none"/>
        </w:rPr>
      </w:pPr>
      <w:r>
        <w:rPr>
          <w:rFonts w:hint="eastAsia" w:ascii="宋体" w:hAnsi="宋体" w:cs="宋体"/>
          <w:b w:val="0"/>
          <w:bCs w:val="0"/>
          <w:color w:val="auto"/>
          <w:szCs w:val="21"/>
          <w:highlight w:val="none"/>
        </w:rPr>
        <w:t>4.</w:t>
      </w:r>
      <w:r>
        <w:rPr>
          <w:rFonts w:hint="eastAsia" w:ascii="宋体" w:hAnsi="宋体"/>
          <w:b w:val="0"/>
          <w:bCs w:val="0"/>
          <w:color w:val="auto"/>
          <w:highlight w:val="none"/>
        </w:rPr>
        <w:t>本次招标不收取投标保证金。</w:t>
      </w:r>
    </w:p>
    <w:p w14:paraId="3AF54A5D">
      <w:pPr>
        <w:pageBreakBefore w:val="0"/>
        <w:kinsoku/>
        <w:wordWrap/>
        <w:overflowPunct/>
        <w:topLinePunct w:val="0"/>
        <w:autoSpaceDE/>
        <w:autoSpaceDN/>
        <w:bidi w:val="0"/>
        <w:adjustRightInd/>
        <w:snapToGrid/>
        <w:spacing w:line="300" w:lineRule="auto"/>
        <w:ind w:firstLine="420"/>
        <w:textAlignment w:val="auto"/>
        <w:rPr>
          <w:rFonts w:ascii="宋体" w:hAnsi="宋体" w:cs="宋体"/>
          <w:b w:val="0"/>
          <w:bCs w:val="0"/>
          <w:color w:val="auto"/>
          <w:highlight w:val="none"/>
        </w:rPr>
      </w:pPr>
      <w:r>
        <w:rPr>
          <w:rFonts w:hint="eastAsia" w:ascii="宋体" w:hAnsi="宋体"/>
          <w:b w:val="0"/>
          <w:bCs w:val="0"/>
          <w:color w:val="auto"/>
          <w:szCs w:val="21"/>
          <w:highlight w:val="none"/>
        </w:rPr>
        <w:t>5.</w:t>
      </w:r>
      <w:r>
        <w:rPr>
          <w:rFonts w:hint="eastAsia" w:ascii="宋体" w:hAnsi="宋体" w:cs="宋体"/>
          <w:b w:val="0"/>
          <w:bCs w:val="0"/>
          <w:color w:val="auto"/>
          <w:highlight w:val="none"/>
        </w:rPr>
        <w:t>有关本次招标的事项若存在变动或修改，敬请及时关注“扬州市政府采购网”、“江苏省政府采购网”发布的信息。</w:t>
      </w:r>
    </w:p>
    <w:p w14:paraId="1251C392">
      <w:pPr>
        <w:pageBreakBefore w:val="0"/>
        <w:kinsoku/>
        <w:wordWrap/>
        <w:overflowPunct/>
        <w:topLinePunct w:val="0"/>
        <w:autoSpaceDE/>
        <w:autoSpaceDN/>
        <w:bidi w:val="0"/>
        <w:adjustRightInd/>
        <w:snapToGrid/>
        <w:spacing w:line="300" w:lineRule="auto"/>
        <w:ind w:firstLine="422"/>
        <w:textAlignment w:val="auto"/>
        <w:rPr>
          <w:rFonts w:ascii="宋体" w:hAnsi="宋体" w:cs="宋体"/>
          <w:b/>
          <w:i/>
          <w:iCs/>
          <w:color w:val="auto"/>
          <w:highlight w:val="none"/>
          <w:u w:val="single"/>
        </w:rPr>
      </w:pPr>
      <w:r>
        <w:rPr>
          <w:rFonts w:hint="eastAsia" w:ascii="宋体" w:hAnsi="宋体" w:cs="宋体"/>
          <w:b/>
          <w:i/>
          <w:iCs/>
          <w:color w:val="auto"/>
          <w:highlight w:val="none"/>
          <w:u w:val="single"/>
        </w:rPr>
        <w:t>6.本项目招标文件中所有斜体下划线部分为实质性条款，如不满足，则为无效投标。</w:t>
      </w:r>
    </w:p>
    <w:p w14:paraId="52DA12A7">
      <w:pPr>
        <w:pStyle w:val="208"/>
        <w:pageBreakBefore w:val="0"/>
        <w:widowControl/>
        <w:shd w:val="clear" w:color="auto" w:fill="FFFFFF"/>
        <w:kinsoku/>
        <w:wordWrap/>
        <w:overflowPunct/>
        <w:topLinePunct w:val="0"/>
        <w:autoSpaceDE/>
        <w:autoSpaceDN/>
        <w:bidi w:val="0"/>
        <w:adjustRightInd/>
        <w:snapToGrid/>
        <w:spacing w:line="300" w:lineRule="auto"/>
        <w:ind w:firstLine="402"/>
        <w:jc w:val="left"/>
        <w:textAlignment w:val="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shd w:val="clear" w:color="auto" w:fill="FFFFFF"/>
        </w:rPr>
        <w:t>7.落实好政府采购履约资金扶持政策。中标/成交投标人可凭政府采购合同办理融资贷款，详见江苏政府采购网“政采贷”专栏。</w:t>
      </w:r>
    </w:p>
    <w:p w14:paraId="45F09C2F">
      <w:pPr>
        <w:pageBreakBefore w:val="0"/>
        <w:widowControl/>
        <w:shd w:val="clear" w:color="auto" w:fill="FFFFFF"/>
        <w:kinsoku/>
        <w:wordWrap/>
        <w:overflowPunct/>
        <w:topLinePunct w:val="0"/>
        <w:autoSpaceDE/>
        <w:autoSpaceDN/>
        <w:bidi w:val="0"/>
        <w:adjustRightInd/>
        <w:snapToGrid/>
        <w:spacing w:line="300" w:lineRule="auto"/>
        <w:ind w:firstLine="422"/>
        <w:jc w:val="left"/>
        <w:textAlignment w:val="auto"/>
        <w:rPr>
          <w:rFonts w:ascii="宋体" w:hAnsi="宋体" w:cs="宋体"/>
          <w:b w:val="0"/>
          <w:bCs w:val="0"/>
          <w:color w:val="auto"/>
          <w:szCs w:val="21"/>
          <w:highlight w:val="none"/>
        </w:rPr>
      </w:pPr>
      <w:r>
        <w:rPr>
          <w:rFonts w:hint="eastAsia" w:ascii="宋体" w:hAnsi="宋体" w:cs="宋体"/>
          <w:b w:val="0"/>
          <w:bCs w:val="0"/>
          <w:color w:val="auto"/>
          <w:szCs w:val="21"/>
          <w:highlight w:val="none"/>
          <w:shd w:val="clear" w:color="auto" w:fill="FFFFFF"/>
          <w:lang w:bidi="ar"/>
        </w:rPr>
        <w:t>8.投标人对于投标产品的包装应按照“财办库〔2020〕123号《关于印发《商品包装政府采购需求标准（试行）》、《快递包装政府采购需求标准（试行）》的通知》”执行。·</w:t>
      </w:r>
    </w:p>
    <w:p w14:paraId="0112ECFC">
      <w:pPr>
        <w:pageBreakBefore w:val="0"/>
        <w:widowControl/>
        <w:shd w:val="clear" w:color="auto" w:fill="FFFFFF"/>
        <w:kinsoku/>
        <w:wordWrap/>
        <w:overflowPunct/>
        <w:topLinePunct w:val="0"/>
        <w:autoSpaceDE/>
        <w:autoSpaceDN/>
        <w:bidi w:val="0"/>
        <w:adjustRightInd/>
        <w:snapToGrid/>
        <w:spacing w:line="300" w:lineRule="auto"/>
        <w:ind w:firstLine="422"/>
        <w:jc w:val="left"/>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shd w:val="clear" w:color="auto" w:fill="FFFFFF"/>
          <w:lang w:bidi="ar"/>
        </w:rPr>
        <w:t>9.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w:t>
      </w:r>
      <w:r>
        <w:rPr>
          <w:rFonts w:hint="eastAsia" w:ascii="宋体" w:hAnsi="宋体" w:cs="宋体"/>
          <w:b w:val="0"/>
          <w:bCs w:val="0"/>
          <w:color w:val="auto"/>
          <w:szCs w:val="21"/>
          <w:highlight w:val="none"/>
          <w:shd w:val="clear" w:color="auto" w:fill="FFFFFF"/>
          <w:lang w:eastAsia="zh-CN" w:bidi="ar"/>
        </w:rPr>
        <w:t>投标文件</w:t>
      </w:r>
      <w:r>
        <w:rPr>
          <w:rFonts w:hint="eastAsia" w:ascii="宋体" w:hAnsi="宋体" w:cs="宋体"/>
          <w:b w:val="0"/>
          <w:bCs w:val="0"/>
          <w:color w:val="auto"/>
          <w:szCs w:val="21"/>
          <w:highlight w:val="none"/>
          <w:shd w:val="clear" w:color="auto" w:fill="FFFFFF"/>
          <w:lang w:bidi="ar"/>
        </w:rPr>
        <w:t>中提供所投产品的相关证书(由国家确定的认证机构出具的、处于有效期之内的节能产品、环境标志产品认证证书)。节能产品、环境标志产品品目清单以递交</w:t>
      </w:r>
      <w:r>
        <w:rPr>
          <w:rFonts w:hint="eastAsia" w:ascii="宋体" w:hAnsi="宋体" w:cs="宋体"/>
          <w:b w:val="0"/>
          <w:bCs w:val="0"/>
          <w:color w:val="auto"/>
          <w:szCs w:val="21"/>
          <w:highlight w:val="none"/>
          <w:shd w:val="clear" w:color="auto" w:fill="FFFFFF"/>
          <w:lang w:eastAsia="zh-CN" w:bidi="ar"/>
        </w:rPr>
        <w:t>投标文件</w:t>
      </w:r>
      <w:r>
        <w:rPr>
          <w:rFonts w:hint="eastAsia" w:ascii="宋体" w:hAnsi="宋体" w:cs="宋体"/>
          <w:b w:val="0"/>
          <w:bCs w:val="0"/>
          <w:color w:val="auto"/>
          <w:szCs w:val="21"/>
          <w:highlight w:val="none"/>
          <w:shd w:val="clear" w:color="auto" w:fill="FFFFFF"/>
          <w:lang w:bidi="ar"/>
        </w:rPr>
        <w:t>截止时已正式公布的最近一期信息为准，如属政府强制采购产品未提供认证证书的或认证证书提供不全的将视为未实质性响应采购要求。其他条件相同情况下，应当优先采购节能产品、环境标志产品。</w:t>
      </w:r>
    </w:p>
    <w:p w14:paraId="3BA26610">
      <w:pPr>
        <w:pStyle w:val="2"/>
        <w:keepNext/>
        <w:keepLines/>
        <w:pageBreakBefore w:val="0"/>
        <w:widowControl w:val="0"/>
        <w:kinsoku/>
        <w:wordWrap/>
        <w:overflowPunct/>
        <w:topLinePunct w:val="0"/>
        <w:autoSpaceDE/>
        <w:autoSpaceDN/>
        <w:bidi w:val="0"/>
        <w:adjustRightInd w:val="0"/>
        <w:snapToGrid w:val="0"/>
        <w:spacing w:before="0" w:after="0" w:line="440" w:lineRule="exact"/>
        <w:jc w:val="center"/>
        <w:textAlignment w:val="auto"/>
        <w:rPr>
          <w:rFonts w:hint="eastAsia" w:ascii="宋体" w:hAnsi="宋体" w:eastAsia="宋体" w:cs="宋体"/>
          <w:b/>
          <w:bCs/>
          <w:color w:val="auto"/>
          <w:sz w:val="28"/>
          <w:szCs w:val="28"/>
          <w:highlight w:val="none"/>
        </w:rPr>
      </w:pPr>
      <w:r>
        <w:rPr>
          <w:rFonts w:ascii="宋体" w:hAnsi="宋体"/>
          <w:color w:val="auto"/>
          <w:szCs w:val="36"/>
          <w:highlight w:val="none"/>
        </w:rPr>
        <w:br w:type="page" w:clear="all"/>
      </w:r>
      <w:bookmarkStart w:id="44" w:name="_Toc15530"/>
      <w:bookmarkStart w:id="45" w:name="_Toc31429"/>
      <w:r>
        <w:rPr>
          <w:rFonts w:hint="eastAsia" w:ascii="宋体" w:hAnsi="宋体" w:eastAsia="宋体" w:cs="宋体"/>
          <w:b/>
          <w:bCs/>
          <w:color w:val="auto"/>
          <w:sz w:val="28"/>
          <w:szCs w:val="28"/>
          <w:highlight w:val="none"/>
        </w:rPr>
        <w:t>第二章 投标人须知</w:t>
      </w:r>
      <w:bookmarkEnd w:id="43"/>
      <w:bookmarkEnd w:id="44"/>
      <w:bookmarkEnd w:id="45"/>
    </w:p>
    <w:p w14:paraId="30E4CEB7">
      <w:pPr>
        <w:spacing w:line="360" w:lineRule="auto"/>
        <w:ind w:firstLine="422"/>
        <w:rPr>
          <w:rFonts w:ascii="宋体" w:hAnsi="宋体"/>
          <w:b/>
          <w:color w:val="auto"/>
          <w:szCs w:val="21"/>
          <w:highlight w:val="none"/>
        </w:rPr>
      </w:pPr>
      <w:r>
        <w:rPr>
          <w:rFonts w:hint="eastAsia" w:ascii="宋体" w:hAnsi="宋体"/>
          <w:b/>
          <w:color w:val="auto"/>
          <w:szCs w:val="21"/>
          <w:highlight w:val="none"/>
        </w:rPr>
        <w:t>1、招标方式</w:t>
      </w:r>
    </w:p>
    <w:p w14:paraId="75278979">
      <w:pPr>
        <w:spacing w:line="360" w:lineRule="auto"/>
        <w:ind w:firstLine="420"/>
        <w:rPr>
          <w:rFonts w:ascii="宋体" w:hAnsi="宋体"/>
          <w:bCs/>
          <w:color w:val="auto"/>
          <w:szCs w:val="21"/>
          <w:highlight w:val="none"/>
        </w:rPr>
      </w:pPr>
      <w:r>
        <w:rPr>
          <w:rFonts w:hint="eastAsia" w:ascii="宋体" w:hAnsi="宋体"/>
          <w:bCs/>
          <w:color w:val="auto"/>
          <w:szCs w:val="21"/>
          <w:highlight w:val="none"/>
        </w:rPr>
        <w:t>1.1 本次招标采取公开招标方式，本采购文件仅适用于</w:t>
      </w:r>
      <w:r>
        <w:rPr>
          <w:rFonts w:hint="eastAsia" w:ascii="宋体" w:hAnsi="宋体"/>
          <w:bCs/>
          <w:color w:val="auto"/>
          <w:szCs w:val="21"/>
          <w:highlight w:val="none"/>
          <w:lang w:val="en-US" w:eastAsia="zh-CN"/>
        </w:rPr>
        <w:t>此</w:t>
      </w:r>
      <w:r>
        <w:rPr>
          <w:rFonts w:hint="eastAsia" w:ascii="宋体" w:hAnsi="宋体"/>
          <w:bCs/>
          <w:color w:val="auto"/>
          <w:szCs w:val="21"/>
          <w:highlight w:val="none"/>
        </w:rPr>
        <w:t>项目。</w:t>
      </w:r>
    </w:p>
    <w:p w14:paraId="32D369B3">
      <w:pPr>
        <w:spacing w:line="360" w:lineRule="auto"/>
        <w:ind w:firstLine="422"/>
        <w:rPr>
          <w:rFonts w:ascii="宋体" w:hAnsi="宋体"/>
          <w:b/>
          <w:color w:val="auto"/>
          <w:szCs w:val="21"/>
          <w:highlight w:val="none"/>
        </w:rPr>
      </w:pPr>
      <w:r>
        <w:rPr>
          <w:rFonts w:hint="eastAsia" w:ascii="宋体" w:hAnsi="宋体"/>
          <w:b/>
          <w:color w:val="auto"/>
          <w:szCs w:val="21"/>
          <w:highlight w:val="none"/>
        </w:rPr>
        <w:t>2、投标人</w:t>
      </w:r>
    </w:p>
    <w:p w14:paraId="1480B390">
      <w:pPr>
        <w:spacing w:line="360" w:lineRule="auto"/>
        <w:ind w:firstLine="420"/>
        <w:rPr>
          <w:rFonts w:ascii="宋体" w:hAnsi="宋体"/>
          <w:bCs/>
          <w:color w:val="auto"/>
          <w:szCs w:val="21"/>
          <w:highlight w:val="none"/>
        </w:rPr>
      </w:pPr>
      <w:r>
        <w:rPr>
          <w:rFonts w:hint="eastAsia" w:ascii="宋体" w:hAnsi="宋体"/>
          <w:bCs/>
          <w:color w:val="auto"/>
          <w:szCs w:val="21"/>
          <w:highlight w:val="none"/>
        </w:rPr>
        <w:t>2.1 本采购文件中“投标人”，即“投标人”，是指参加投标竞争，并符合采购文件规定资格条件的法人、其他组织或者自然人。</w:t>
      </w:r>
    </w:p>
    <w:p w14:paraId="67CC81C6">
      <w:pPr>
        <w:spacing w:line="360" w:lineRule="auto"/>
        <w:ind w:firstLine="420"/>
        <w:rPr>
          <w:rFonts w:ascii="宋体" w:hAnsi="宋体"/>
          <w:bCs/>
          <w:color w:val="auto"/>
          <w:szCs w:val="21"/>
          <w:highlight w:val="none"/>
        </w:rPr>
      </w:pPr>
      <w:r>
        <w:rPr>
          <w:rFonts w:hint="eastAsia" w:ascii="宋体" w:hAnsi="宋体"/>
          <w:bCs/>
          <w:color w:val="auto"/>
          <w:szCs w:val="21"/>
          <w:highlight w:val="none"/>
        </w:rPr>
        <w:t>2.2合格的投标人</w:t>
      </w:r>
    </w:p>
    <w:p w14:paraId="3F5C5A9A">
      <w:pPr>
        <w:spacing w:line="360" w:lineRule="auto"/>
        <w:ind w:firstLine="420"/>
        <w:rPr>
          <w:rFonts w:ascii="宋体" w:hAnsi="宋体"/>
          <w:bCs/>
          <w:color w:val="auto"/>
          <w:szCs w:val="21"/>
          <w:highlight w:val="none"/>
        </w:rPr>
      </w:pPr>
      <w:r>
        <w:rPr>
          <w:rFonts w:hint="eastAsia" w:ascii="宋体" w:hAnsi="宋体"/>
          <w:bCs/>
          <w:color w:val="auto"/>
          <w:szCs w:val="21"/>
          <w:highlight w:val="none"/>
        </w:rPr>
        <w:t>2.2.1 满足招标公告中投标人的资格条件要求的规定。</w:t>
      </w:r>
    </w:p>
    <w:p w14:paraId="3BA77BFB">
      <w:pPr>
        <w:spacing w:line="360" w:lineRule="auto"/>
        <w:ind w:firstLine="420"/>
        <w:rPr>
          <w:rFonts w:ascii="宋体" w:hAnsi="宋体"/>
          <w:bCs/>
          <w:color w:val="auto"/>
          <w:szCs w:val="21"/>
          <w:highlight w:val="none"/>
        </w:rPr>
      </w:pPr>
      <w:r>
        <w:rPr>
          <w:rFonts w:hint="eastAsia" w:ascii="宋体" w:hAnsi="宋体"/>
          <w:bCs/>
          <w:color w:val="auto"/>
          <w:szCs w:val="21"/>
          <w:highlight w:val="none"/>
        </w:rPr>
        <w:t>2.2.2 满足本文件实质性条款的规定。</w:t>
      </w:r>
    </w:p>
    <w:p w14:paraId="567E980D">
      <w:pPr>
        <w:spacing w:line="360" w:lineRule="auto"/>
        <w:ind w:firstLine="422"/>
        <w:rPr>
          <w:rFonts w:ascii="宋体" w:hAnsi="宋体"/>
          <w:b/>
          <w:color w:val="auto"/>
          <w:szCs w:val="21"/>
          <w:highlight w:val="none"/>
        </w:rPr>
      </w:pPr>
      <w:r>
        <w:rPr>
          <w:rFonts w:hint="eastAsia" w:ascii="宋体" w:hAnsi="宋体"/>
          <w:b/>
          <w:color w:val="auto"/>
          <w:szCs w:val="21"/>
          <w:highlight w:val="none"/>
        </w:rPr>
        <w:t>3、适用法律</w:t>
      </w:r>
    </w:p>
    <w:p w14:paraId="2B145D2F">
      <w:pPr>
        <w:spacing w:line="360" w:lineRule="auto"/>
        <w:ind w:firstLine="420"/>
        <w:rPr>
          <w:rFonts w:ascii="宋体" w:hAnsi="宋体"/>
          <w:bCs/>
          <w:color w:val="auto"/>
          <w:szCs w:val="21"/>
          <w:highlight w:val="none"/>
        </w:rPr>
      </w:pPr>
      <w:r>
        <w:rPr>
          <w:rFonts w:hint="eastAsia" w:ascii="宋体" w:hAnsi="宋体"/>
          <w:bCs/>
          <w:color w:val="auto"/>
          <w:szCs w:val="21"/>
          <w:highlight w:val="none"/>
        </w:rPr>
        <w:t>3.1 本次招标及由此产生的合同受中华人民共和国有关的法律法规制约和保护。</w:t>
      </w:r>
    </w:p>
    <w:p w14:paraId="2A1C16D0">
      <w:pPr>
        <w:spacing w:line="360" w:lineRule="auto"/>
        <w:ind w:firstLine="422"/>
        <w:rPr>
          <w:rFonts w:ascii="宋体" w:hAnsi="宋体"/>
          <w:b/>
          <w:color w:val="auto"/>
          <w:szCs w:val="21"/>
          <w:highlight w:val="none"/>
        </w:rPr>
      </w:pPr>
      <w:r>
        <w:rPr>
          <w:rFonts w:hint="eastAsia" w:ascii="宋体" w:hAnsi="宋体"/>
          <w:b/>
          <w:color w:val="auto"/>
          <w:szCs w:val="21"/>
          <w:highlight w:val="none"/>
        </w:rPr>
        <w:t>4、投标费用</w:t>
      </w:r>
    </w:p>
    <w:p w14:paraId="726F0CB3">
      <w:pPr>
        <w:spacing w:line="360" w:lineRule="auto"/>
        <w:ind w:firstLine="420"/>
        <w:rPr>
          <w:rFonts w:ascii="宋体" w:hAnsi="宋体"/>
          <w:color w:val="auto"/>
          <w:highlight w:val="none"/>
        </w:rPr>
      </w:pPr>
      <w:r>
        <w:rPr>
          <w:rFonts w:ascii="宋体" w:hAnsi="宋体"/>
          <w:color w:val="auto"/>
          <w:highlight w:val="none"/>
        </w:rPr>
        <w:t xml:space="preserve">4.1 投标人应自行承担所有与参加投标有关的费用，无论投标过程中的做法和结果如何，代理机构在任何情况下均无义务和责任承担这些费用。 </w:t>
      </w:r>
    </w:p>
    <w:p w14:paraId="4B09393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4.2代理服务费：领取中标通知书前，以中标金额为</w:t>
      </w:r>
      <w:r>
        <w:rPr>
          <w:rFonts w:hint="eastAsia" w:ascii="宋体" w:hAnsi="宋体" w:eastAsia="宋体" w:cs="宋体"/>
          <w:color w:val="auto"/>
          <w:highlight w:val="none"/>
          <w:lang w:val="en-US" w:eastAsia="zh-CN"/>
        </w:rPr>
        <w:t>计算依据</w:t>
      </w:r>
      <w:r>
        <w:rPr>
          <w:rFonts w:hint="eastAsia" w:ascii="宋体" w:hAnsi="宋体" w:eastAsia="宋体" w:cs="宋体"/>
          <w:color w:val="auto"/>
          <w:highlight w:val="none"/>
        </w:rPr>
        <w:t>，中标人按照“计价格[2002]1980号”文件收费标准</w:t>
      </w:r>
      <w:r>
        <w:rPr>
          <w:rFonts w:hint="eastAsia" w:ascii="宋体" w:hAnsi="宋体" w:eastAsia="宋体" w:cs="宋体"/>
          <w:color w:val="auto"/>
          <w:highlight w:val="none"/>
          <w:lang w:val="en-US" w:eastAsia="zh-CN"/>
        </w:rPr>
        <w:t>50%</w:t>
      </w:r>
      <w:r>
        <w:rPr>
          <w:rFonts w:hint="eastAsia" w:ascii="宋体" w:hAnsi="宋体" w:eastAsia="宋体" w:cs="宋体"/>
          <w:color w:val="auto"/>
          <w:highlight w:val="none"/>
        </w:rPr>
        <w:t>计取</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最低单项收费3500元，</w:t>
      </w:r>
      <w:r>
        <w:rPr>
          <w:rFonts w:hint="eastAsia" w:ascii="宋体" w:hAnsi="宋体" w:eastAsia="宋体" w:cs="宋体"/>
          <w:color w:val="auto"/>
          <w:highlight w:val="none"/>
        </w:rPr>
        <w:t xml:space="preserve">一次性支付给招标代理机构。 </w:t>
      </w:r>
    </w:p>
    <w:p w14:paraId="1BD4A18B">
      <w:pPr>
        <w:spacing w:line="360" w:lineRule="auto"/>
        <w:ind w:firstLine="420"/>
        <w:rPr>
          <w:rFonts w:ascii="宋体" w:hAnsi="宋体"/>
          <w:color w:val="auto"/>
          <w:highlight w:val="none"/>
        </w:rPr>
      </w:pPr>
      <w:r>
        <w:rPr>
          <w:rFonts w:ascii="宋体" w:hAnsi="宋体"/>
          <w:color w:val="auto"/>
          <w:highlight w:val="none"/>
        </w:rPr>
        <w:t xml:space="preserve">（1）代理服务费以人民币支付； </w:t>
      </w:r>
    </w:p>
    <w:p w14:paraId="57D020E5">
      <w:pPr>
        <w:spacing w:line="360" w:lineRule="auto"/>
        <w:ind w:firstLine="420"/>
        <w:rPr>
          <w:rFonts w:ascii="宋体" w:hAnsi="宋体"/>
          <w:color w:val="auto"/>
          <w:highlight w:val="none"/>
        </w:rPr>
      </w:pPr>
      <w:r>
        <w:rPr>
          <w:rFonts w:ascii="宋体" w:hAnsi="宋体"/>
          <w:color w:val="auto"/>
          <w:highlight w:val="none"/>
        </w:rPr>
        <w:t xml:space="preserve">（2）代理服务费一次性以电汇、转账等非现金形式支付； </w:t>
      </w:r>
    </w:p>
    <w:p w14:paraId="59CC9EEB">
      <w:pPr>
        <w:spacing w:line="360" w:lineRule="auto"/>
        <w:ind w:firstLine="420"/>
        <w:rPr>
          <w:rFonts w:ascii="宋体" w:hAnsi="宋体"/>
          <w:color w:val="auto"/>
          <w:highlight w:val="none"/>
        </w:rPr>
      </w:pPr>
      <w:r>
        <w:rPr>
          <w:rFonts w:ascii="宋体" w:hAnsi="宋体"/>
          <w:color w:val="auto"/>
          <w:highlight w:val="none"/>
        </w:rPr>
        <w:t xml:space="preserve">（3）招标代理服务费不在投标报价中单列，包含在投标总价中，由中标单位支付给代理机构。 </w:t>
      </w:r>
    </w:p>
    <w:p w14:paraId="338A3AB0">
      <w:pPr>
        <w:spacing w:line="360" w:lineRule="auto"/>
        <w:ind w:firstLine="420"/>
        <w:rPr>
          <w:rFonts w:hint="eastAsia" w:ascii="宋体" w:hAnsi="宋体"/>
          <w:color w:val="auto"/>
          <w:highlight w:val="none"/>
        </w:rPr>
      </w:pPr>
      <w:r>
        <w:rPr>
          <w:rFonts w:hint="eastAsia" w:ascii="宋体" w:hAnsi="宋体"/>
          <w:color w:val="auto"/>
          <w:highlight w:val="none"/>
        </w:rPr>
        <w:t>户名：江苏省招标中心有限公司</w:t>
      </w:r>
    </w:p>
    <w:p w14:paraId="6F4F2DA0">
      <w:pPr>
        <w:spacing w:line="360" w:lineRule="auto"/>
        <w:ind w:firstLine="420"/>
        <w:rPr>
          <w:rFonts w:hint="eastAsia" w:ascii="宋体" w:hAnsi="宋体"/>
          <w:color w:val="auto"/>
          <w:highlight w:val="none"/>
        </w:rPr>
      </w:pPr>
      <w:r>
        <w:rPr>
          <w:rFonts w:hint="eastAsia" w:ascii="宋体" w:hAnsi="宋体"/>
          <w:color w:val="auto"/>
          <w:highlight w:val="none"/>
        </w:rPr>
        <w:t>开户银行：中信银行江苏路支行</w:t>
      </w:r>
    </w:p>
    <w:p w14:paraId="7511FBEF">
      <w:pPr>
        <w:spacing w:line="360" w:lineRule="auto"/>
        <w:ind w:firstLine="420"/>
        <w:rPr>
          <w:rFonts w:ascii="宋体" w:hAnsi="宋体"/>
          <w:color w:val="auto"/>
          <w:highlight w:val="none"/>
        </w:rPr>
      </w:pPr>
      <w:r>
        <w:rPr>
          <w:rFonts w:hint="eastAsia" w:ascii="宋体" w:hAnsi="宋体"/>
          <w:color w:val="auto"/>
          <w:highlight w:val="none"/>
        </w:rPr>
        <w:t>银行账号：7321810182600023404</w:t>
      </w:r>
      <w:r>
        <w:rPr>
          <w:rFonts w:ascii="宋体" w:hAnsi="宋体"/>
          <w:color w:val="auto"/>
          <w:highlight w:val="none"/>
        </w:rPr>
        <w:t xml:space="preserve"> </w:t>
      </w:r>
    </w:p>
    <w:p w14:paraId="4FFA490E">
      <w:pPr>
        <w:spacing w:line="360" w:lineRule="auto"/>
        <w:ind w:firstLine="422"/>
        <w:rPr>
          <w:rFonts w:ascii="宋体" w:hAnsi="宋体"/>
          <w:b/>
          <w:color w:val="auto"/>
          <w:szCs w:val="21"/>
          <w:highlight w:val="none"/>
        </w:rPr>
      </w:pPr>
      <w:r>
        <w:rPr>
          <w:rFonts w:hint="eastAsia" w:ascii="宋体" w:hAnsi="宋体"/>
          <w:b/>
          <w:color w:val="auto"/>
          <w:szCs w:val="21"/>
          <w:highlight w:val="none"/>
        </w:rPr>
        <w:t>5、采购文件的约束力</w:t>
      </w:r>
    </w:p>
    <w:p w14:paraId="287B944A">
      <w:pPr>
        <w:spacing w:line="360" w:lineRule="auto"/>
        <w:ind w:firstLine="420"/>
        <w:rPr>
          <w:rFonts w:ascii="宋体" w:hAnsi="宋体"/>
          <w:bCs/>
          <w:color w:val="auto"/>
          <w:szCs w:val="21"/>
          <w:highlight w:val="none"/>
        </w:rPr>
      </w:pPr>
      <w:r>
        <w:rPr>
          <w:rFonts w:hint="eastAsia" w:ascii="宋体" w:hAnsi="宋体"/>
          <w:bCs/>
          <w:color w:val="auto"/>
          <w:szCs w:val="21"/>
          <w:highlight w:val="none"/>
        </w:rPr>
        <w:t>5.1 投标人一旦参加本项目采购活动，即被认为接受了本采购文件的规定和约束。</w:t>
      </w:r>
    </w:p>
    <w:p w14:paraId="3379CD0A">
      <w:pPr>
        <w:spacing w:line="360" w:lineRule="auto"/>
        <w:ind w:firstLine="422"/>
        <w:rPr>
          <w:rFonts w:ascii="宋体" w:hAnsi="宋体"/>
          <w:b/>
          <w:color w:val="auto"/>
          <w:szCs w:val="21"/>
          <w:highlight w:val="none"/>
        </w:rPr>
      </w:pPr>
      <w:r>
        <w:rPr>
          <w:rFonts w:hint="eastAsia" w:ascii="宋体" w:hAnsi="宋体"/>
          <w:b/>
          <w:color w:val="auto"/>
          <w:szCs w:val="21"/>
          <w:highlight w:val="none"/>
        </w:rPr>
        <w:t>6、采购文件构成</w:t>
      </w:r>
    </w:p>
    <w:p w14:paraId="618B154B">
      <w:pPr>
        <w:spacing w:line="360" w:lineRule="auto"/>
        <w:ind w:firstLine="420"/>
        <w:rPr>
          <w:rFonts w:ascii="宋体" w:hAnsi="宋体"/>
          <w:bCs/>
          <w:color w:val="auto"/>
          <w:szCs w:val="21"/>
          <w:highlight w:val="none"/>
        </w:rPr>
      </w:pPr>
      <w:r>
        <w:rPr>
          <w:rFonts w:hint="eastAsia" w:ascii="宋体" w:hAnsi="宋体"/>
          <w:bCs/>
          <w:color w:val="auto"/>
          <w:szCs w:val="21"/>
          <w:highlight w:val="none"/>
        </w:rPr>
        <w:t>6.1 采购文件有以下部分组成：</w:t>
      </w:r>
    </w:p>
    <w:p w14:paraId="461E9E22">
      <w:pPr>
        <w:spacing w:line="360" w:lineRule="auto"/>
        <w:ind w:firstLine="420"/>
        <w:rPr>
          <w:rFonts w:ascii="宋体" w:hAnsi="宋体"/>
          <w:bCs/>
          <w:color w:val="auto"/>
          <w:szCs w:val="21"/>
          <w:highlight w:val="none"/>
        </w:rPr>
      </w:pPr>
      <w:r>
        <w:rPr>
          <w:rFonts w:hint="eastAsia" w:ascii="宋体" w:hAnsi="宋体"/>
          <w:bCs/>
          <w:color w:val="auto"/>
          <w:szCs w:val="21"/>
          <w:highlight w:val="none"/>
        </w:rPr>
        <w:t>（1）招标公告</w:t>
      </w:r>
    </w:p>
    <w:p w14:paraId="6EAF9171">
      <w:pPr>
        <w:spacing w:line="360" w:lineRule="auto"/>
        <w:ind w:firstLine="420"/>
        <w:rPr>
          <w:rFonts w:ascii="宋体" w:hAnsi="宋体"/>
          <w:bCs/>
          <w:color w:val="auto"/>
          <w:szCs w:val="21"/>
          <w:highlight w:val="none"/>
        </w:rPr>
      </w:pPr>
      <w:r>
        <w:rPr>
          <w:rFonts w:hint="eastAsia" w:ascii="宋体" w:hAnsi="宋体"/>
          <w:bCs/>
          <w:color w:val="auto"/>
          <w:szCs w:val="21"/>
          <w:highlight w:val="none"/>
        </w:rPr>
        <w:t>（2）投标人须知</w:t>
      </w:r>
      <w:r>
        <w:rPr>
          <w:rFonts w:hint="eastAsia" w:ascii="宋体" w:hAnsi="宋体"/>
          <w:bCs/>
          <w:color w:val="auto"/>
          <w:szCs w:val="21"/>
          <w:highlight w:val="none"/>
        </w:rPr>
        <w:tab/>
      </w:r>
    </w:p>
    <w:p w14:paraId="1E8D0118">
      <w:pPr>
        <w:spacing w:line="360" w:lineRule="auto"/>
        <w:ind w:firstLine="420"/>
        <w:rPr>
          <w:rFonts w:ascii="宋体" w:hAnsi="宋体"/>
          <w:bCs/>
          <w:color w:val="auto"/>
          <w:szCs w:val="21"/>
          <w:highlight w:val="none"/>
        </w:rPr>
      </w:pPr>
      <w:r>
        <w:rPr>
          <w:rFonts w:hint="eastAsia" w:ascii="宋体" w:hAnsi="宋体"/>
          <w:bCs/>
          <w:color w:val="auto"/>
          <w:szCs w:val="21"/>
          <w:highlight w:val="none"/>
        </w:rPr>
        <w:t>（3）合同条款及格式</w:t>
      </w:r>
    </w:p>
    <w:p w14:paraId="53CCB4A0">
      <w:pPr>
        <w:spacing w:line="360" w:lineRule="auto"/>
        <w:ind w:firstLine="420"/>
        <w:rPr>
          <w:rFonts w:ascii="宋体" w:hAnsi="宋体"/>
          <w:bCs/>
          <w:color w:val="auto"/>
          <w:szCs w:val="21"/>
          <w:highlight w:val="none"/>
        </w:rPr>
      </w:pPr>
      <w:r>
        <w:rPr>
          <w:rFonts w:hint="eastAsia" w:ascii="宋体" w:hAnsi="宋体"/>
          <w:bCs/>
          <w:color w:val="auto"/>
          <w:szCs w:val="21"/>
          <w:highlight w:val="none"/>
        </w:rPr>
        <w:t>（4）项目需求</w:t>
      </w:r>
    </w:p>
    <w:p w14:paraId="0188EF15">
      <w:pPr>
        <w:spacing w:line="360" w:lineRule="auto"/>
        <w:ind w:firstLine="420"/>
        <w:rPr>
          <w:rFonts w:ascii="宋体" w:hAnsi="宋体"/>
          <w:bCs/>
          <w:color w:val="auto"/>
          <w:szCs w:val="21"/>
          <w:highlight w:val="none"/>
        </w:rPr>
      </w:pPr>
      <w:r>
        <w:rPr>
          <w:rFonts w:hint="eastAsia" w:ascii="宋体" w:hAnsi="宋体"/>
          <w:bCs/>
          <w:color w:val="auto"/>
          <w:szCs w:val="21"/>
          <w:highlight w:val="none"/>
        </w:rPr>
        <w:t>（5）评标方法与评标标准</w:t>
      </w:r>
    </w:p>
    <w:p w14:paraId="171A874D">
      <w:pPr>
        <w:spacing w:line="360" w:lineRule="auto"/>
        <w:ind w:firstLine="420"/>
        <w:rPr>
          <w:rFonts w:ascii="宋体" w:hAnsi="宋体"/>
          <w:bCs/>
          <w:color w:val="auto"/>
          <w:szCs w:val="21"/>
          <w:highlight w:val="none"/>
        </w:rPr>
      </w:pPr>
      <w:r>
        <w:rPr>
          <w:rFonts w:hint="eastAsia" w:ascii="宋体" w:hAnsi="宋体"/>
          <w:bCs/>
          <w:color w:val="auto"/>
          <w:szCs w:val="21"/>
          <w:highlight w:val="none"/>
        </w:rPr>
        <w:t>（6）投标文件格式</w:t>
      </w:r>
    </w:p>
    <w:p w14:paraId="21267BC1">
      <w:pPr>
        <w:spacing w:line="360" w:lineRule="auto"/>
        <w:ind w:firstLine="420"/>
        <w:rPr>
          <w:rFonts w:ascii="宋体" w:hAnsi="宋体"/>
          <w:bCs/>
          <w:color w:val="auto"/>
          <w:szCs w:val="21"/>
          <w:highlight w:val="none"/>
        </w:rPr>
      </w:pPr>
      <w:r>
        <w:rPr>
          <w:rFonts w:hint="eastAsia" w:ascii="宋体" w:hAnsi="宋体"/>
          <w:bCs/>
          <w:color w:val="auto"/>
          <w:szCs w:val="21"/>
          <w:highlight w:val="none"/>
        </w:rPr>
        <w:t>请仔细检查采购文件是否齐全，如有缺漏请立即与代理机构联系解决。</w:t>
      </w:r>
    </w:p>
    <w:p w14:paraId="46E83F14">
      <w:pPr>
        <w:spacing w:line="360" w:lineRule="auto"/>
        <w:ind w:firstLine="420"/>
        <w:rPr>
          <w:rFonts w:ascii="宋体" w:hAnsi="宋体"/>
          <w:bCs/>
          <w:color w:val="auto"/>
          <w:szCs w:val="21"/>
          <w:highlight w:val="none"/>
        </w:rPr>
      </w:pPr>
      <w:r>
        <w:rPr>
          <w:rFonts w:hint="eastAsia" w:ascii="宋体" w:hAnsi="宋体"/>
          <w:bCs/>
          <w:color w:val="auto"/>
          <w:szCs w:val="21"/>
          <w:highlight w:val="none"/>
        </w:rPr>
        <w:t>6.2 招标的最小单位是包。招标服务数量及技术要求中未分包的，投标人对要求提供的服务不得部分投标；招标服务数量及技术要求中已经分包的，应当以包为单位投标。</w:t>
      </w:r>
    </w:p>
    <w:p w14:paraId="3B82847E">
      <w:pPr>
        <w:spacing w:line="360" w:lineRule="auto"/>
        <w:ind w:firstLine="420"/>
        <w:rPr>
          <w:rFonts w:ascii="宋体" w:hAnsi="宋体"/>
          <w:bCs/>
          <w:color w:val="auto"/>
          <w:szCs w:val="21"/>
          <w:highlight w:val="none"/>
        </w:rPr>
      </w:pPr>
      <w:r>
        <w:rPr>
          <w:rFonts w:hint="eastAsia" w:ascii="宋体" w:hAnsi="宋体"/>
          <w:bCs/>
          <w:color w:val="auto"/>
          <w:szCs w:val="21"/>
          <w:highlight w:val="none"/>
        </w:rPr>
        <w:t>6.3 采购文件如果要求投标人提交备选投标方案的，投标人可以提交备选方案；否则，备选方案将被拒绝。</w:t>
      </w:r>
    </w:p>
    <w:p w14:paraId="1E76260F">
      <w:pPr>
        <w:spacing w:line="360" w:lineRule="auto"/>
        <w:ind w:firstLine="420"/>
        <w:rPr>
          <w:rFonts w:ascii="宋体" w:hAnsi="宋体"/>
          <w:bCs/>
          <w:color w:val="auto"/>
          <w:szCs w:val="21"/>
          <w:highlight w:val="none"/>
        </w:rPr>
      </w:pPr>
      <w:r>
        <w:rPr>
          <w:rFonts w:hint="eastAsia" w:ascii="宋体" w:hAnsi="宋体"/>
          <w:bCs/>
          <w:color w:val="auto"/>
          <w:szCs w:val="21"/>
          <w:highlight w:val="none"/>
        </w:rPr>
        <w:t>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755EB23A">
      <w:pPr>
        <w:spacing w:line="360" w:lineRule="auto"/>
        <w:ind w:firstLine="422"/>
        <w:rPr>
          <w:rFonts w:ascii="宋体" w:hAnsi="宋体"/>
          <w:b/>
          <w:color w:val="auto"/>
          <w:szCs w:val="21"/>
          <w:highlight w:val="none"/>
        </w:rPr>
      </w:pPr>
      <w:r>
        <w:rPr>
          <w:rFonts w:hint="eastAsia" w:ascii="宋体" w:hAnsi="宋体"/>
          <w:b/>
          <w:color w:val="auto"/>
          <w:szCs w:val="21"/>
          <w:highlight w:val="none"/>
        </w:rPr>
        <w:t>7、采购文件的澄清</w:t>
      </w:r>
    </w:p>
    <w:p w14:paraId="53BB9122">
      <w:pPr>
        <w:spacing w:line="360" w:lineRule="auto"/>
        <w:ind w:firstLine="420"/>
        <w:rPr>
          <w:rFonts w:ascii="宋体" w:hAnsi="宋体"/>
          <w:bCs/>
          <w:color w:val="auto"/>
          <w:szCs w:val="21"/>
          <w:highlight w:val="none"/>
        </w:rPr>
      </w:pPr>
      <w:r>
        <w:rPr>
          <w:rFonts w:hint="eastAsia" w:ascii="宋体" w:hAnsi="宋体"/>
          <w:bCs/>
          <w:color w:val="auto"/>
          <w:szCs w:val="21"/>
          <w:highlight w:val="none"/>
        </w:rPr>
        <w:t>7.1 任何要求对采购文件进行澄清的投标人，应在投标截止日期的十日前按招标公告中的通讯地址，以书面形式通知代理机构。</w:t>
      </w:r>
    </w:p>
    <w:p w14:paraId="191E54C2">
      <w:pPr>
        <w:spacing w:line="360" w:lineRule="auto"/>
        <w:ind w:firstLine="422"/>
        <w:rPr>
          <w:rFonts w:ascii="宋体" w:hAnsi="宋体"/>
          <w:b/>
          <w:color w:val="auto"/>
          <w:szCs w:val="21"/>
          <w:highlight w:val="none"/>
        </w:rPr>
      </w:pPr>
      <w:r>
        <w:rPr>
          <w:rFonts w:hint="eastAsia" w:ascii="宋体" w:hAnsi="宋体"/>
          <w:b/>
          <w:color w:val="auto"/>
          <w:szCs w:val="21"/>
          <w:highlight w:val="none"/>
        </w:rPr>
        <w:t>8、采购文件的修改</w:t>
      </w:r>
    </w:p>
    <w:p w14:paraId="5D50F2A4">
      <w:pPr>
        <w:spacing w:line="360" w:lineRule="auto"/>
        <w:ind w:firstLine="420"/>
        <w:rPr>
          <w:rFonts w:ascii="宋体" w:hAnsi="宋体"/>
          <w:bCs/>
          <w:color w:val="auto"/>
          <w:szCs w:val="21"/>
          <w:highlight w:val="none"/>
        </w:rPr>
      </w:pPr>
      <w:r>
        <w:rPr>
          <w:rFonts w:hint="eastAsia" w:ascii="宋体" w:hAnsi="宋体"/>
          <w:bCs/>
          <w:color w:val="auto"/>
          <w:szCs w:val="21"/>
          <w:highlight w:val="none"/>
        </w:rPr>
        <w:t>8.1 在投标截止时间前，代理机构可以对采购文件进行修改。</w:t>
      </w:r>
    </w:p>
    <w:p w14:paraId="05865826">
      <w:pPr>
        <w:spacing w:line="360" w:lineRule="auto"/>
        <w:ind w:firstLine="420"/>
        <w:rPr>
          <w:rFonts w:ascii="宋体" w:hAnsi="宋体"/>
          <w:bCs/>
          <w:color w:val="auto"/>
          <w:szCs w:val="21"/>
          <w:highlight w:val="none"/>
        </w:rPr>
      </w:pPr>
      <w:r>
        <w:rPr>
          <w:rFonts w:hint="eastAsia" w:ascii="宋体" w:hAnsi="宋体"/>
          <w:bCs/>
          <w:color w:val="auto"/>
          <w:szCs w:val="21"/>
          <w:highlight w:val="none"/>
        </w:rPr>
        <w:t>8.2代理机构在采购文件要求提交投标文件截止时间前，有权按照法定要求推迟投标截止时间和开标时间。</w:t>
      </w:r>
    </w:p>
    <w:p w14:paraId="5721DA6E">
      <w:pPr>
        <w:spacing w:line="360" w:lineRule="auto"/>
        <w:ind w:firstLine="420"/>
        <w:rPr>
          <w:rFonts w:ascii="宋体" w:hAnsi="宋体"/>
          <w:bCs/>
          <w:color w:val="auto"/>
          <w:szCs w:val="21"/>
          <w:highlight w:val="none"/>
        </w:rPr>
      </w:pPr>
      <w:r>
        <w:rPr>
          <w:rFonts w:hint="eastAsia" w:ascii="宋体" w:hAnsi="宋体"/>
          <w:bCs/>
          <w:color w:val="auto"/>
          <w:szCs w:val="21"/>
          <w:highlight w:val="none"/>
        </w:rPr>
        <w:t>8.3采购文件的修改将在“扬州市政府采购网”、“江苏省政府采购网”公布，补充文件将作为采购文件的组成部分，并对投标人具有约束力。</w:t>
      </w:r>
    </w:p>
    <w:p w14:paraId="32BE76CF">
      <w:pPr>
        <w:spacing w:line="360" w:lineRule="auto"/>
        <w:ind w:firstLine="422"/>
        <w:rPr>
          <w:rFonts w:ascii="宋体" w:hAnsi="宋体"/>
          <w:b/>
          <w:color w:val="auto"/>
          <w:szCs w:val="21"/>
          <w:highlight w:val="none"/>
        </w:rPr>
      </w:pPr>
      <w:r>
        <w:rPr>
          <w:rFonts w:hint="eastAsia" w:ascii="宋体" w:hAnsi="宋体"/>
          <w:b/>
          <w:color w:val="auto"/>
          <w:szCs w:val="21"/>
          <w:highlight w:val="none"/>
        </w:rPr>
        <w:t>9、投标文件的语言、度量衡单位、货币</w:t>
      </w:r>
    </w:p>
    <w:p w14:paraId="005376FC">
      <w:pPr>
        <w:spacing w:line="360" w:lineRule="auto"/>
        <w:ind w:firstLine="420"/>
        <w:rPr>
          <w:rFonts w:ascii="宋体" w:hAnsi="宋体"/>
          <w:bCs/>
          <w:color w:val="auto"/>
          <w:szCs w:val="21"/>
          <w:highlight w:val="none"/>
        </w:rPr>
      </w:pPr>
      <w:r>
        <w:rPr>
          <w:rFonts w:hint="eastAsia" w:ascii="宋体" w:hAnsi="宋体"/>
          <w:bCs/>
          <w:color w:val="auto"/>
          <w:szCs w:val="21"/>
          <w:highlight w:val="none"/>
        </w:rPr>
        <w:t>9.1投标人提交的投标文件以及投标人与代理机构就有关投标的所有来往通知、函件和文件均应使用简体中文。</w:t>
      </w:r>
    </w:p>
    <w:p w14:paraId="1A8615AC">
      <w:pPr>
        <w:spacing w:line="360" w:lineRule="auto"/>
        <w:ind w:firstLine="420"/>
        <w:rPr>
          <w:rFonts w:ascii="宋体" w:hAnsi="宋体"/>
          <w:bCs/>
          <w:color w:val="auto"/>
          <w:szCs w:val="21"/>
          <w:highlight w:val="none"/>
        </w:rPr>
      </w:pPr>
      <w:r>
        <w:rPr>
          <w:rFonts w:hint="eastAsia" w:ascii="宋体" w:hAnsi="宋体"/>
          <w:bCs/>
          <w:color w:val="auto"/>
          <w:szCs w:val="21"/>
          <w:highlight w:val="none"/>
        </w:rPr>
        <w:t>9.2 除技术性能另有规定外，投标文件所使用的度量衡单位，均须采用国家法定计量单位。</w:t>
      </w:r>
    </w:p>
    <w:p w14:paraId="12ADB76B">
      <w:pPr>
        <w:spacing w:line="360" w:lineRule="auto"/>
        <w:ind w:firstLine="420"/>
        <w:rPr>
          <w:rFonts w:ascii="宋体" w:hAnsi="宋体"/>
          <w:bCs/>
          <w:color w:val="auto"/>
          <w:szCs w:val="21"/>
          <w:highlight w:val="none"/>
        </w:rPr>
      </w:pPr>
      <w:r>
        <w:rPr>
          <w:rFonts w:hint="eastAsia" w:ascii="宋体" w:hAnsi="宋体"/>
          <w:bCs/>
          <w:color w:val="auto"/>
          <w:szCs w:val="21"/>
          <w:highlight w:val="none"/>
        </w:rPr>
        <w:t>9.3投标人应使用人民币报价。</w:t>
      </w:r>
    </w:p>
    <w:p w14:paraId="7070B097">
      <w:pPr>
        <w:spacing w:line="360" w:lineRule="auto"/>
        <w:ind w:firstLine="422"/>
        <w:rPr>
          <w:rFonts w:ascii="宋体" w:hAnsi="宋体"/>
          <w:b/>
          <w:color w:val="auto"/>
          <w:szCs w:val="21"/>
          <w:highlight w:val="none"/>
        </w:rPr>
      </w:pPr>
      <w:r>
        <w:rPr>
          <w:rFonts w:hint="eastAsia" w:ascii="宋体" w:hAnsi="宋体"/>
          <w:b/>
          <w:color w:val="auto"/>
          <w:szCs w:val="21"/>
          <w:highlight w:val="none"/>
        </w:rPr>
        <w:t>10、投标文件构成</w:t>
      </w:r>
    </w:p>
    <w:p w14:paraId="5A4900F3">
      <w:pPr>
        <w:spacing w:line="360" w:lineRule="auto"/>
        <w:ind w:firstLine="420"/>
        <w:rPr>
          <w:rFonts w:ascii="宋体" w:hAnsi="宋体"/>
          <w:bCs/>
          <w:color w:val="auto"/>
          <w:szCs w:val="21"/>
          <w:highlight w:val="none"/>
        </w:rPr>
      </w:pPr>
      <w:r>
        <w:rPr>
          <w:rFonts w:hint="eastAsia" w:ascii="宋体" w:hAnsi="宋体"/>
          <w:bCs/>
          <w:color w:val="auto"/>
          <w:szCs w:val="21"/>
          <w:highlight w:val="none"/>
        </w:rPr>
        <w:t>10.1投标文件由以下部分组成</w:t>
      </w:r>
    </w:p>
    <w:p w14:paraId="65F309D1">
      <w:pPr>
        <w:spacing w:line="360" w:lineRule="auto"/>
        <w:ind w:firstLine="420"/>
        <w:rPr>
          <w:rFonts w:ascii="宋体" w:hAnsi="宋体"/>
          <w:bCs/>
          <w:color w:val="auto"/>
          <w:szCs w:val="21"/>
          <w:highlight w:val="none"/>
        </w:rPr>
      </w:pPr>
      <w:r>
        <w:rPr>
          <w:rFonts w:hint="eastAsia" w:ascii="宋体" w:hAnsi="宋体"/>
          <w:bCs/>
          <w:color w:val="auto"/>
          <w:szCs w:val="21"/>
          <w:highlight w:val="none"/>
        </w:rPr>
        <w:t>（1）资格审查响应对照表</w:t>
      </w:r>
    </w:p>
    <w:p w14:paraId="698E045A">
      <w:pPr>
        <w:spacing w:line="360" w:lineRule="auto"/>
        <w:ind w:firstLine="420"/>
        <w:rPr>
          <w:rFonts w:ascii="宋体" w:hAnsi="宋体"/>
          <w:bCs/>
          <w:color w:val="auto"/>
          <w:szCs w:val="21"/>
          <w:highlight w:val="none"/>
        </w:rPr>
      </w:pPr>
      <w:r>
        <w:rPr>
          <w:rFonts w:hint="eastAsia" w:ascii="宋体" w:hAnsi="宋体"/>
          <w:bCs/>
          <w:color w:val="auto"/>
          <w:szCs w:val="21"/>
          <w:highlight w:val="none"/>
        </w:rPr>
        <w:t>（2）符合性审查响应对照表</w:t>
      </w:r>
    </w:p>
    <w:p w14:paraId="60C5F810">
      <w:pPr>
        <w:spacing w:line="360" w:lineRule="auto"/>
        <w:ind w:firstLine="420"/>
        <w:rPr>
          <w:rFonts w:ascii="宋体" w:hAnsi="宋体"/>
          <w:bCs/>
          <w:color w:val="auto"/>
          <w:szCs w:val="21"/>
          <w:highlight w:val="none"/>
        </w:rPr>
      </w:pPr>
      <w:r>
        <w:rPr>
          <w:rFonts w:hint="eastAsia" w:ascii="宋体" w:hAnsi="宋体"/>
          <w:bCs/>
          <w:color w:val="auto"/>
          <w:szCs w:val="21"/>
          <w:highlight w:val="none"/>
        </w:rPr>
        <w:t>（3）非实质性响应对照表</w:t>
      </w:r>
    </w:p>
    <w:p w14:paraId="0ECF5153">
      <w:pPr>
        <w:spacing w:line="360" w:lineRule="auto"/>
        <w:ind w:firstLine="420"/>
        <w:rPr>
          <w:rFonts w:ascii="宋体" w:hAnsi="宋体"/>
          <w:bCs/>
          <w:color w:val="auto"/>
          <w:szCs w:val="21"/>
          <w:highlight w:val="none"/>
        </w:rPr>
      </w:pPr>
      <w:r>
        <w:rPr>
          <w:rFonts w:hint="eastAsia" w:ascii="宋体" w:hAnsi="宋体"/>
          <w:bCs/>
          <w:color w:val="auto"/>
          <w:szCs w:val="21"/>
          <w:highlight w:val="none"/>
        </w:rPr>
        <w:t xml:space="preserve">（4）开标一览表 </w:t>
      </w:r>
    </w:p>
    <w:p w14:paraId="0F6A08BA">
      <w:pPr>
        <w:spacing w:line="360" w:lineRule="auto"/>
        <w:ind w:firstLine="420"/>
        <w:rPr>
          <w:rFonts w:ascii="宋体" w:hAnsi="宋体"/>
          <w:bCs/>
          <w:color w:val="auto"/>
          <w:szCs w:val="21"/>
          <w:highlight w:val="none"/>
        </w:rPr>
      </w:pPr>
      <w:r>
        <w:rPr>
          <w:rFonts w:hint="eastAsia" w:ascii="宋体" w:hAnsi="宋体"/>
          <w:bCs/>
          <w:color w:val="auto"/>
          <w:szCs w:val="21"/>
          <w:highlight w:val="none"/>
        </w:rPr>
        <w:t xml:space="preserve">（5）分项报价表 </w:t>
      </w:r>
    </w:p>
    <w:p w14:paraId="36BFDAB3">
      <w:pPr>
        <w:spacing w:line="360" w:lineRule="auto"/>
        <w:ind w:firstLine="420"/>
        <w:rPr>
          <w:rFonts w:ascii="宋体" w:hAnsi="宋体"/>
          <w:bCs/>
          <w:color w:val="auto"/>
          <w:szCs w:val="21"/>
          <w:highlight w:val="none"/>
        </w:rPr>
      </w:pPr>
      <w:r>
        <w:rPr>
          <w:rFonts w:hint="eastAsia" w:ascii="宋体" w:hAnsi="宋体"/>
          <w:bCs/>
          <w:color w:val="auto"/>
          <w:szCs w:val="21"/>
          <w:highlight w:val="none"/>
        </w:rPr>
        <w:t xml:space="preserve">（6）技术参数响应及偏离表 </w:t>
      </w:r>
    </w:p>
    <w:p w14:paraId="21165558">
      <w:pPr>
        <w:spacing w:line="360" w:lineRule="auto"/>
        <w:ind w:firstLine="420"/>
        <w:rPr>
          <w:rFonts w:ascii="宋体" w:hAnsi="宋体"/>
          <w:bCs/>
          <w:color w:val="auto"/>
          <w:szCs w:val="21"/>
          <w:highlight w:val="none"/>
        </w:rPr>
      </w:pPr>
      <w:r>
        <w:rPr>
          <w:rFonts w:hint="eastAsia" w:ascii="宋体" w:hAnsi="宋体"/>
          <w:bCs/>
          <w:color w:val="auto"/>
          <w:szCs w:val="21"/>
          <w:highlight w:val="none"/>
        </w:rPr>
        <w:t xml:space="preserve">（7）商务条款响应及偏离表 </w:t>
      </w:r>
    </w:p>
    <w:p w14:paraId="4C8C8737">
      <w:pPr>
        <w:spacing w:line="360" w:lineRule="auto"/>
        <w:ind w:firstLine="420"/>
        <w:rPr>
          <w:rFonts w:ascii="宋体" w:hAnsi="宋体"/>
          <w:bCs/>
          <w:color w:val="auto"/>
          <w:szCs w:val="21"/>
          <w:highlight w:val="none"/>
        </w:rPr>
      </w:pPr>
      <w:r>
        <w:rPr>
          <w:rFonts w:hint="eastAsia" w:ascii="宋体" w:hAnsi="宋体"/>
          <w:bCs/>
          <w:color w:val="auto"/>
          <w:szCs w:val="21"/>
          <w:highlight w:val="none"/>
        </w:rPr>
        <w:t>（8）其他 （投标人认为有必要提供的声明和文件，如有自拟并自行添加）</w:t>
      </w:r>
    </w:p>
    <w:p w14:paraId="69642F18">
      <w:pPr>
        <w:spacing w:line="360" w:lineRule="auto"/>
        <w:ind w:firstLine="420"/>
        <w:rPr>
          <w:rFonts w:ascii="宋体" w:hAnsi="宋体"/>
          <w:bCs/>
          <w:color w:val="auto"/>
          <w:szCs w:val="21"/>
          <w:highlight w:val="none"/>
        </w:rPr>
      </w:pPr>
      <w:r>
        <w:rPr>
          <w:rFonts w:hint="eastAsia" w:ascii="宋体" w:hAnsi="宋体"/>
          <w:bCs/>
          <w:color w:val="auto"/>
          <w:szCs w:val="21"/>
          <w:highlight w:val="none"/>
        </w:rPr>
        <w:t>10.2投标人应当根据采购文件要求编制投标文件，投标文件应对采购文件提出的要求和条件作出响应，并在相应的投标文件中逐条标明满足与否。</w:t>
      </w:r>
    </w:p>
    <w:p w14:paraId="6E98F292">
      <w:pPr>
        <w:spacing w:line="360" w:lineRule="auto"/>
        <w:ind w:firstLine="422"/>
        <w:rPr>
          <w:rFonts w:ascii="宋体" w:hAnsi="宋体"/>
          <w:b/>
          <w:color w:val="auto"/>
          <w:szCs w:val="21"/>
          <w:highlight w:val="none"/>
        </w:rPr>
      </w:pPr>
      <w:r>
        <w:rPr>
          <w:rFonts w:hint="eastAsia" w:ascii="宋体" w:hAnsi="宋体"/>
          <w:b/>
          <w:color w:val="auto"/>
          <w:szCs w:val="21"/>
          <w:highlight w:val="none"/>
        </w:rPr>
        <w:t>11、证明投标人资格及符合采购文件规定的文件</w:t>
      </w:r>
    </w:p>
    <w:p w14:paraId="619A5E13">
      <w:pPr>
        <w:spacing w:line="360" w:lineRule="auto"/>
        <w:ind w:firstLine="420"/>
        <w:rPr>
          <w:rFonts w:ascii="宋体" w:hAnsi="宋体"/>
          <w:bCs/>
          <w:color w:val="auto"/>
          <w:szCs w:val="21"/>
          <w:highlight w:val="none"/>
        </w:rPr>
      </w:pPr>
      <w:r>
        <w:rPr>
          <w:rFonts w:hint="eastAsia" w:ascii="宋体" w:hAnsi="宋体"/>
          <w:bCs/>
          <w:color w:val="auto"/>
          <w:szCs w:val="21"/>
          <w:highlight w:val="none"/>
        </w:rPr>
        <w:t>11.1投标人应按要求提交资格证明文件及符合采购文件规定的文件。</w:t>
      </w:r>
    </w:p>
    <w:p w14:paraId="55FAADD1">
      <w:pPr>
        <w:spacing w:line="360" w:lineRule="auto"/>
        <w:ind w:firstLine="420"/>
        <w:rPr>
          <w:rFonts w:ascii="宋体" w:hAnsi="宋体"/>
          <w:bCs/>
          <w:color w:val="auto"/>
          <w:szCs w:val="21"/>
          <w:highlight w:val="none"/>
        </w:rPr>
      </w:pPr>
      <w:r>
        <w:rPr>
          <w:rFonts w:hint="eastAsia" w:ascii="宋体" w:hAnsi="宋体"/>
          <w:bCs/>
          <w:color w:val="auto"/>
          <w:szCs w:val="21"/>
          <w:highlight w:val="none"/>
        </w:rPr>
        <w:t>11.2投标人应提交证明其有资格参加投标和中标后有能力独立履行合同的文件。</w:t>
      </w:r>
    </w:p>
    <w:p w14:paraId="772AE63E">
      <w:pPr>
        <w:spacing w:line="360" w:lineRule="auto"/>
        <w:ind w:firstLine="420"/>
        <w:rPr>
          <w:rFonts w:ascii="宋体" w:hAnsi="宋体"/>
          <w:bCs/>
          <w:color w:val="auto"/>
          <w:szCs w:val="21"/>
          <w:highlight w:val="none"/>
        </w:rPr>
      </w:pPr>
      <w:r>
        <w:rPr>
          <w:rFonts w:hint="eastAsia" w:ascii="宋体" w:hAnsi="宋体"/>
          <w:bCs/>
          <w:color w:val="auto"/>
          <w:szCs w:val="21"/>
          <w:highlight w:val="none"/>
        </w:rPr>
        <w:t>11.3投标人除必须具有履行合同所需提供的产品或服务的能力外，还必须具备相应的财务、技术方面的能力。</w:t>
      </w:r>
    </w:p>
    <w:p w14:paraId="1D63A7C7">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11.4投标人应提交根据合同要求提供的证明服务质量合格以及符合采购文件规定的证明文件。</w:t>
      </w:r>
    </w:p>
    <w:p w14:paraId="43CF4B04">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11.5证明投标人所提供货物和服务都符合招标文件要求的文件应该是鉴定书、样本、说明书、图样和资料，并须提供：</w:t>
      </w:r>
    </w:p>
    <w:p w14:paraId="26CB2A8B">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 xml:space="preserve">① 货物的主要技术数据和性能的详细描述，服务的履约能力、功能需求实现等应以正式印刷的样本、使用手册、说明书、检测报告、或网上公开发布的数据来证实。 </w:t>
      </w:r>
    </w:p>
    <w:p w14:paraId="36A456E0">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② 根据招标文件的技术需求逐条说明货物或服务对技术需求的适合性，如有不符之处，应说明其差别之所在；</w:t>
      </w:r>
    </w:p>
    <w:p w14:paraId="08532321">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③ 对上述②条的说明，请投标人注意：</w:t>
      </w:r>
    </w:p>
    <w:p w14:paraId="4B479362">
      <w:pPr>
        <w:spacing w:line="360" w:lineRule="auto"/>
        <w:ind w:firstLine="420"/>
        <w:rPr>
          <w:rFonts w:ascii="宋体" w:hAnsi="宋体"/>
          <w:bCs/>
          <w:color w:val="auto"/>
          <w:szCs w:val="21"/>
          <w:highlight w:val="none"/>
        </w:rPr>
      </w:pPr>
      <w:r>
        <w:rPr>
          <w:rFonts w:hint="eastAsia" w:ascii="宋体" w:hAnsi="宋体"/>
          <w:bCs/>
          <w:color w:val="auto"/>
          <w:szCs w:val="21"/>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321DDE1E">
      <w:pPr>
        <w:spacing w:line="360" w:lineRule="auto"/>
        <w:ind w:firstLine="422"/>
        <w:rPr>
          <w:rFonts w:ascii="宋体" w:hAnsi="宋体"/>
          <w:b/>
          <w:color w:val="auto"/>
          <w:szCs w:val="21"/>
          <w:highlight w:val="none"/>
        </w:rPr>
      </w:pPr>
      <w:r>
        <w:rPr>
          <w:rFonts w:hint="eastAsia" w:ascii="宋体" w:hAnsi="宋体"/>
          <w:b/>
          <w:color w:val="auto"/>
          <w:szCs w:val="21"/>
          <w:highlight w:val="none"/>
        </w:rPr>
        <w:t>12、投标配置与分项报价表</w:t>
      </w:r>
    </w:p>
    <w:p w14:paraId="463546EE">
      <w:pPr>
        <w:spacing w:line="360" w:lineRule="auto"/>
        <w:ind w:firstLine="420"/>
        <w:rPr>
          <w:rFonts w:ascii="宋体" w:hAnsi="宋体"/>
          <w:bCs/>
          <w:color w:val="auto"/>
          <w:szCs w:val="21"/>
          <w:highlight w:val="none"/>
        </w:rPr>
      </w:pPr>
      <w:r>
        <w:rPr>
          <w:rFonts w:hint="eastAsia" w:ascii="宋体" w:hAnsi="宋体"/>
          <w:bCs/>
          <w:color w:val="auto"/>
          <w:szCs w:val="21"/>
          <w:highlight w:val="none"/>
        </w:rPr>
        <w:t>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6C996412">
      <w:pPr>
        <w:spacing w:line="360" w:lineRule="auto"/>
        <w:ind w:firstLine="420"/>
        <w:rPr>
          <w:rFonts w:ascii="宋体" w:hAnsi="宋体"/>
          <w:bCs/>
          <w:color w:val="auto"/>
          <w:szCs w:val="21"/>
          <w:highlight w:val="none"/>
        </w:rPr>
      </w:pPr>
      <w:r>
        <w:rPr>
          <w:rFonts w:hint="eastAsia" w:ascii="宋体" w:hAnsi="宋体"/>
          <w:bCs/>
          <w:color w:val="auto"/>
          <w:szCs w:val="21"/>
          <w:highlight w:val="none"/>
        </w:rPr>
        <w:t>12.2 标的物</w:t>
      </w:r>
    </w:p>
    <w:p w14:paraId="5E964277">
      <w:pPr>
        <w:spacing w:line="360" w:lineRule="auto"/>
        <w:ind w:firstLine="420"/>
        <w:rPr>
          <w:rFonts w:ascii="宋体" w:hAnsi="宋体"/>
          <w:bCs/>
          <w:color w:val="auto"/>
          <w:szCs w:val="21"/>
          <w:highlight w:val="none"/>
        </w:rPr>
      </w:pPr>
      <w:r>
        <w:rPr>
          <w:rFonts w:hint="eastAsia" w:ascii="宋体" w:hAnsi="宋体"/>
          <w:bCs/>
          <w:color w:val="auto"/>
          <w:szCs w:val="21"/>
          <w:highlight w:val="none"/>
        </w:rPr>
        <w:t>采购人需求的服务供应、安装，调试及有关技术服务等。</w:t>
      </w:r>
    </w:p>
    <w:p w14:paraId="23200FF0">
      <w:pPr>
        <w:spacing w:line="360" w:lineRule="auto"/>
        <w:ind w:firstLine="420"/>
        <w:rPr>
          <w:rFonts w:ascii="宋体" w:hAnsi="宋体"/>
          <w:bCs/>
          <w:color w:val="auto"/>
          <w:szCs w:val="21"/>
          <w:highlight w:val="none"/>
        </w:rPr>
      </w:pPr>
      <w:r>
        <w:rPr>
          <w:rFonts w:hint="eastAsia" w:ascii="宋体" w:hAnsi="宋体"/>
          <w:bCs/>
          <w:color w:val="auto"/>
          <w:szCs w:val="21"/>
          <w:highlight w:val="none"/>
        </w:rPr>
        <w:t>12.3有关费用处理</w:t>
      </w:r>
    </w:p>
    <w:p w14:paraId="410F84A4">
      <w:pPr>
        <w:spacing w:line="360" w:lineRule="auto"/>
        <w:ind w:firstLine="420"/>
        <w:rPr>
          <w:rFonts w:ascii="宋体" w:hAnsi="宋体"/>
          <w:bCs/>
          <w:color w:val="auto"/>
          <w:szCs w:val="21"/>
          <w:highlight w:val="none"/>
        </w:rPr>
      </w:pPr>
      <w:r>
        <w:rPr>
          <w:rFonts w:hint="eastAsia" w:ascii="宋体" w:hAnsi="宋体"/>
          <w:bCs/>
          <w:color w:val="auto"/>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p>
    <w:p w14:paraId="7CD138D7">
      <w:pPr>
        <w:spacing w:line="360" w:lineRule="auto"/>
        <w:ind w:firstLine="420"/>
        <w:rPr>
          <w:rFonts w:ascii="宋体" w:hAnsi="宋体"/>
          <w:bCs/>
          <w:color w:val="auto"/>
          <w:szCs w:val="21"/>
          <w:highlight w:val="none"/>
        </w:rPr>
      </w:pPr>
      <w:r>
        <w:rPr>
          <w:rFonts w:hint="eastAsia" w:ascii="宋体" w:hAnsi="宋体"/>
          <w:bCs/>
          <w:color w:val="auto"/>
          <w:szCs w:val="21"/>
          <w:highlight w:val="none"/>
        </w:rPr>
        <w:t>12.4其它费用处理</w:t>
      </w:r>
    </w:p>
    <w:p w14:paraId="1148625B">
      <w:pPr>
        <w:spacing w:line="360" w:lineRule="auto"/>
        <w:ind w:firstLine="420"/>
        <w:rPr>
          <w:rFonts w:ascii="宋体" w:hAnsi="宋体"/>
          <w:bCs/>
          <w:color w:val="auto"/>
          <w:szCs w:val="21"/>
          <w:highlight w:val="none"/>
        </w:rPr>
      </w:pPr>
      <w:r>
        <w:rPr>
          <w:rFonts w:hint="eastAsia" w:ascii="宋体" w:hAnsi="宋体"/>
          <w:bCs/>
          <w:color w:val="auto"/>
          <w:szCs w:val="21"/>
          <w:highlight w:val="none"/>
        </w:rPr>
        <w:t>采购文件未列明，而投标人认为必需的费用也需列入报价。</w:t>
      </w:r>
    </w:p>
    <w:p w14:paraId="0FF98272">
      <w:pPr>
        <w:spacing w:line="360" w:lineRule="auto"/>
        <w:ind w:firstLine="420"/>
        <w:rPr>
          <w:rFonts w:ascii="宋体" w:hAnsi="宋体"/>
          <w:bCs/>
          <w:color w:val="auto"/>
          <w:szCs w:val="21"/>
          <w:highlight w:val="none"/>
        </w:rPr>
      </w:pPr>
      <w:r>
        <w:rPr>
          <w:rFonts w:hint="eastAsia" w:ascii="宋体" w:hAnsi="宋体"/>
          <w:bCs/>
          <w:color w:val="auto"/>
          <w:szCs w:val="21"/>
          <w:highlight w:val="none"/>
        </w:rPr>
        <w:t>12.5投标货币</w:t>
      </w:r>
    </w:p>
    <w:p w14:paraId="4D2719B4">
      <w:pPr>
        <w:spacing w:line="360" w:lineRule="auto"/>
        <w:ind w:firstLine="420"/>
        <w:rPr>
          <w:rFonts w:ascii="宋体" w:hAnsi="宋体"/>
          <w:bCs/>
          <w:color w:val="auto"/>
          <w:szCs w:val="21"/>
          <w:highlight w:val="none"/>
        </w:rPr>
      </w:pPr>
      <w:r>
        <w:rPr>
          <w:rFonts w:hint="eastAsia" w:ascii="宋体" w:hAnsi="宋体"/>
          <w:bCs/>
          <w:color w:val="auto"/>
          <w:szCs w:val="21"/>
          <w:highlight w:val="none"/>
        </w:rPr>
        <w:t>投标文件中的服务单价和总价无特殊规定的采用人民币报价，以元为单位标注。采购文件中另有规定的按规定执行。</w:t>
      </w:r>
    </w:p>
    <w:p w14:paraId="096F2951">
      <w:pPr>
        <w:spacing w:line="360" w:lineRule="auto"/>
        <w:ind w:firstLine="420"/>
        <w:rPr>
          <w:rFonts w:ascii="宋体" w:hAnsi="宋体"/>
          <w:bCs/>
          <w:color w:val="auto"/>
          <w:szCs w:val="21"/>
          <w:highlight w:val="none"/>
        </w:rPr>
      </w:pPr>
      <w:r>
        <w:rPr>
          <w:rFonts w:hint="eastAsia" w:ascii="宋体" w:hAnsi="宋体"/>
          <w:bCs/>
          <w:color w:val="auto"/>
          <w:szCs w:val="21"/>
          <w:highlight w:val="none"/>
        </w:rPr>
        <w:t>12.6 投标配置与分项报价表上的价格应按下列方式分开填写：</w:t>
      </w:r>
    </w:p>
    <w:p w14:paraId="46719DF7">
      <w:pPr>
        <w:spacing w:line="360" w:lineRule="auto"/>
        <w:ind w:firstLine="420"/>
        <w:rPr>
          <w:rFonts w:ascii="宋体" w:hAnsi="宋体"/>
          <w:bCs/>
          <w:color w:val="auto"/>
          <w:szCs w:val="21"/>
          <w:highlight w:val="none"/>
        </w:rPr>
      </w:pPr>
      <w:r>
        <w:rPr>
          <w:rFonts w:hint="eastAsia" w:ascii="宋体" w:hAnsi="宋体"/>
          <w:bCs/>
          <w:color w:val="auto"/>
          <w:szCs w:val="21"/>
          <w:highlight w:val="none"/>
        </w:rPr>
        <w:t>1、项目总价：包括采购人需求的产品价格、质量保证费用、培训费用及售后服务费用，项目在指定地点、环境交付、安装、调试、验收所需费用和所有相关税金费用及为完成整个项目所产生的其他所有费用。</w:t>
      </w:r>
    </w:p>
    <w:p w14:paraId="04BD1A3F">
      <w:pPr>
        <w:spacing w:line="360" w:lineRule="auto"/>
        <w:ind w:firstLine="420"/>
        <w:rPr>
          <w:rFonts w:ascii="宋体" w:hAnsi="宋体"/>
          <w:bCs/>
          <w:color w:val="auto"/>
          <w:szCs w:val="21"/>
          <w:highlight w:val="none"/>
        </w:rPr>
      </w:pPr>
      <w:r>
        <w:rPr>
          <w:rFonts w:hint="eastAsia" w:ascii="宋体" w:hAnsi="宋体"/>
          <w:bCs/>
          <w:color w:val="auto"/>
          <w:szCs w:val="21"/>
          <w:highlight w:val="none"/>
        </w:rPr>
        <w:t>2、项目单价按投标配置及分项报价表中要求填报。</w:t>
      </w:r>
    </w:p>
    <w:p w14:paraId="2D2C55FC">
      <w:pPr>
        <w:spacing w:line="360" w:lineRule="auto"/>
        <w:ind w:firstLine="422"/>
        <w:rPr>
          <w:rFonts w:ascii="宋体" w:hAnsi="宋体"/>
          <w:b/>
          <w:color w:val="auto"/>
          <w:szCs w:val="21"/>
          <w:highlight w:val="none"/>
        </w:rPr>
      </w:pPr>
      <w:r>
        <w:rPr>
          <w:rFonts w:hint="eastAsia" w:ascii="宋体" w:hAnsi="宋体"/>
          <w:b/>
          <w:color w:val="auto"/>
          <w:szCs w:val="21"/>
          <w:highlight w:val="none"/>
        </w:rPr>
        <w:t>13、技术参数响应及偏离表、商务条款响应及偏离表及投标货物说明</w:t>
      </w:r>
    </w:p>
    <w:p w14:paraId="1B586054">
      <w:pPr>
        <w:spacing w:line="360" w:lineRule="auto"/>
        <w:ind w:firstLine="420"/>
        <w:rPr>
          <w:rFonts w:ascii="宋体" w:hAnsi="宋体"/>
          <w:bCs/>
          <w:color w:val="auto"/>
          <w:szCs w:val="21"/>
          <w:highlight w:val="none"/>
        </w:rPr>
      </w:pPr>
      <w:r>
        <w:rPr>
          <w:rFonts w:hint="eastAsia" w:ascii="宋体" w:hAnsi="宋体"/>
          <w:bCs/>
          <w:color w:val="auto"/>
          <w:szCs w:val="21"/>
          <w:highlight w:val="none"/>
        </w:rPr>
        <w:t>13.1 对采购文件中的技术与商务条款要求逐项作出响应或偏离，并说明原因；</w:t>
      </w:r>
    </w:p>
    <w:p w14:paraId="572B6F9C">
      <w:pPr>
        <w:spacing w:line="360" w:lineRule="auto"/>
        <w:ind w:firstLine="420"/>
        <w:rPr>
          <w:rFonts w:ascii="宋体" w:hAnsi="宋体"/>
          <w:bCs/>
          <w:color w:val="auto"/>
          <w:szCs w:val="21"/>
          <w:highlight w:val="none"/>
        </w:rPr>
      </w:pPr>
      <w:r>
        <w:rPr>
          <w:rFonts w:hint="eastAsia" w:ascii="宋体" w:hAnsi="宋体"/>
          <w:bCs/>
          <w:color w:val="auto"/>
          <w:szCs w:val="21"/>
          <w:highlight w:val="none"/>
        </w:rPr>
        <w:t>13.2 提供参加本项目类似案例简介；</w:t>
      </w:r>
    </w:p>
    <w:p w14:paraId="27320384">
      <w:pPr>
        <w:spacing w:line="360" w:lineRule="auto"/>
        <w:ind w:firstLine="420"/>
        <w:rPr>
          <w:rFonts w:ascii="宋体" w:hAnsi="宋体"/>
          <w:bCs/>
          <w:color w:val="auto"/>
          <w:szCs w:val="21"/>
          <w:highlight w:val="none"/>
        </w:rPr>
      </w:pPr>
      <w:r>
        <w:rPr>
          <w:rFonts w:hint="eastAsia" w:ascii="宋体" w:hAnsi="宋体"/>
          <w:bCs/>
          <w:color w:val="auto"/>
          <w:szCs w:val="21"/>
          <w:highlight w:val="none"/>
        </w:rPr>
        <w:t>13.3 培训计划；</w:t>
      </w:r>
    </w:p>
    <w:p w14:paraId="2A8C9807">
      <w:pPr>
        <w:spacing w:line="360" w:lineRule="auto"/>
        <w:ind w:firstLine="420"/>
        <w:rPr>
          <w:rFonts w:ascii="宋体" w:hAnsi="宋体"/>
          <w:bCs/>
          <w:color w:val="auto"/>
          <w:szCs w:val="21"/>
          <w:highlight w:val="none"/>
        </w:rPr>
      </w:pPr>
      <w:r>
        <w:rPr>
          <w:rFonts w:hint="eastAsia" w:ascii="宋体" w:hAnsi="宋体"/>
          <w:bCs/>
          <w:color w:val="auto"/>
          <w:szCs w:val="21"/>
          <w:highlight w:val="none"/>
        </w:rPr>
        <w:t>13.4 详细阐述所投货物的主要组成部分、功能设计、实现思路及关键技术；</w:t>
      </w:r>
    </w:p>
    <w:p w14:paraId="69D946A6">
      <w:pPr>
        <w:spacing w:line="360" w:lineRule="auto"/>
        <w:ind w:firstLine="420"/>
        <w:rPr>
          <w:rFonts w:ascii="宋体" w:hAnsi="宋体"/>
          <w:bCs/>
          <w:color w:val="auto"/>
          <w:szCs w:val="21"/>
          <w:highlight w:val="none"/>
        </w:rPr>
      </w:pPr>
      <w:r>
        <w:rPr>
          <w:rFonts w:hint="eastAsia" w:ascii="宋体" w:hAnsi="宋体"/>
          <w:bCs/>
          <w:color w:val="auto"/>
          <w:szCs w:val="21"/>
          <w:highlight w:val="none"/>
        </w:rPr>
        <w:t>13.5 投标人认为需要的其他技术文件或说明。</w:t>
      </w:r>
    </w:p>
    <w:p w14:paraId="3DB328FB">
      <w:pPr>
        <w:spacing w:line="360" w:lineRule="auto"/>
        <w:ind w:firstLine="422"/>
        <w:rPr>
          <w:rFonts w:ascii="宋体" w:hAnsi="宋体"/>
          <w:b/>
          <w:color w:val="auto"/>
          <w:szCs w:val="21"/>
          <w:highlight w:val="none"/>
        </w:rPr>
      </w:pPr>
      <w:r>
        <w:rPr>
          <w:rFonts w:hint="eastAsia" w:ascii="宋体" w:hAnsi="宋体"/>
          <w:b/>
          <w:color w:val="auto"/>
          <w:szCs w:val="21"/>
          <w:highlight w:val="none"/>
        </w:rPr>
        <w:t>14、服务承诺及售后服务机构、人员的情况介绍</w:t>
      </w:r>
    </w:p>
    <w:p w14:paraId="38EF6B8B">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14.1投标人的服务承诺应按不低于采购文件中商务要求的标准。</w:t>
      </w:r>
    </w:p>
    <w:p w14:paraId="47A0E6AD">
      <w:pPr>
        <w:spacing w:line="360" w:lineRule="auto"/>
        <w:ind w:firstLine="420"/>
        <w:rPr>
          <w:rFonts w:ascii="宋体" w:hAnsi="宋体"/>
          <w:bCs/>
          <w:color w:val="auto"/>
          <w:szCs w:val="21"/>
          <w:highlight w:val="none"/>
        </w:rPr>
      </w:pPr>
      <w:r>
        <w:rPr>
          <w:rFonts w:hint="eastAsia" w:ascii="宋体" w:hAnsi="宋体"/>
          <w:bCs/>
          <w:color w:val="auto"/>
          <w:szCs w:val="21"/>
          <w:highlight w:val="none"/>
        </w:rPr>
        <w:t>14.2提供投标人有关售后服务的管理制度、售后服务机构的分布情况、售后服务人员的数量、素质、技术水平及售后服务的反应能力。</w:t>
      </w:r>
    </w:p>
    <w:p w14:paraId="5C926121">
      <w:pPr>
        <w:spacing w:line="360" w:lineRule="auto"/>
        <w:ind w:firstLine="422"/>
        <w:rPr>
          <w:rFonts w:ascii="宋体" w:hAnsi="宋体"/>
          <w:b/>
          <w:color w:val="auto"/>
          <w:szCs w:val="21"/>
          <w:highlight w:val="none"/>
        </w:rPr>
      </w:pPr>
      <w:r>
        <w:rPr>
          <w:rFonts w:hint="eastAsia" w:ascii="宋体" w:hAnsi="宋体"/>
          <w:b/>
          <w:color w:val="auto"/>
          <w:szCs w:val="21"/>
          <w:highlight w:val="none"/>
        </w:rPr>
        <w:t>15、投标函和开标一览表</w:t>
      </w:r>
    </w:p>
    <w:p w14:paraId="5CC36FF4">
      <w:pPr>
        <w:spacing w:line="360" w:lineRule="auto"/>
        <w:ind w:firstLine="420"/>
        <w:rPr>
          <w:rFonts w:ascii="宋体" w:hAnsi="宋体"/>
          <w:bCs/>
          <w:color w:val="auto"/>
          <w:szCs w:val="21"/>
          <w:highlight w:val="none"/>
        </w:rPr>
      </w:pPr>
      <w:r>
        <w:rPr>
          <w:rFonts w:hint="eastAsia" w:ascii="宋体" w:hAnsi="宋体"/>
          <w:bCs/>
          <w:color w:val="auto"/>
          <w:szCs w:val="21"/>
          <w:highlight w:val="none"/>
        </w:rPr>
        <w:t>15.1 投标人应按照采购文件中提供的格式完整、正确填写投标函、开标一览表。</w:t>
      </w:r>
    </w:p>
    <w:p w14:paraId="38400728">
      <w:pPr>
        <w:spacing w:line="360" w:lineRule="auto"/>
        <w:ind w:firstLine="420"/>
        <w:rPr>
          <w:rFonts w:ascii="宋体" w:hAnsi="宋体"/>
          <w:bCs/>
          <w:color w:val="auto"/>
          <w:szCs w:val="21"/>
          <w:highlight w:val="none"/>
        </w:rPr>
      </w:pPr>
      <w:r>
        <w:rPr>
          <w:rFonts w:hint="eastAsia" w:ascii="宋体" w:hAnsi="宋体"/>
          <w:bCs/>
          <w:color w:val="auto"/>
          <w:szCs w:val="21"/>
          <w:highlight w:val="none"/>
        </w:rPr>
        <w:t>15.2 开标一览表中的价格应与投标文件中分项报价表中的价格一致，如不一致，不作为无效投标处理，但评标时按开标一览表中价格为准。</w:t>
      </w:r>
    </w:p>
    <w:p w14:paraId="20FCFE39">
      <w:pPr>
        <w:spacing w:line="360" w:lineRule="auto"/>
        <w:ind w:firstLine="422"/>
        <w:rPr>
          <w:rFonts w:ascii="宋体" w:hAnsi="宋体"/>
          <w:b/>
          <w:color w:val="auto"/>
          <w:szCs w:val="21"/>
          <w:highlight w:val="none"/>
        </w:rPr>
      </w:pPr>
      <w:r>
        <w:rPr>
          <w:rFonts w:hint="eastAsia" w:ascii="宋体" w:hAnsi="宋体"/>
          <w:b/>
          <w:color w:val="auto"/>
          <w:szCs w:val="21"/>
          <w:highlight w:val="none"/>
        </w:rPr>
        <w:t>16、投标有效期</w:t>
      </w:r>
    </w:p>
    <w:p w14:paraId="1477F3CA">
      <w:pPr>
        <w:spacing w:line="360" w:lineRule="auto"/>
        <w:ind w:firstLine="420"/>
        <w:rPr>
          <w:rFonts w:ascii="宋体" w:hAnsi="宋体"/>
          <w:bCs/>
          <w:color w:val="auto"/>
          <w:szCs w:val="21"/>
          <w:highlight w:val="none"/>
        </w:rPr>
      </w:pPr>
      <w:r>
        <w:rPr>
          <w:rFonts w:hint="eastAsia" w:ascii="宋体" w:hAnsi="宋体"/>
          <w:bCs/>
          <w:color w:val="auto"/>
          <w:szCs w:val="21"/>
          <w:highlight w:val="none"/>
        </w:rPr>
        <w:t>16.1 投标有效期为开标之日起九十（90）天。投标有效期比规定短的将被视为非响应性投标而予以拒绝。</w:t>
      </w:r>
    </w:p>
    <w:p w14:paraId="33D1D49C">
      <w:pPr>
        <w:spacing w:line="360" w:lineRule="auto"/>
        <w:ind w:firstLine="420"/>
        <w:rPr>
          <w:rFonts w:ascii="宋体" w:hAnsi="宋体"/>
          <w:bCs/>
          <w:color w:val="auto"/>
          <w:szCs w:val="21"/>
          <w:highlight w:val="none"/>
        </w:rPr>
      </w:pPr>
      <w:r>
        <w:rPr>
          <w:rFonts w:hint="eastAsia" w:ascii="宋体" w:hAnsi="宋体"/>
          <w:bCs/>
          <w:color w:val="auto"/>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p>
    <w:p w14:paraId="6BF86E53">
      <w:pPr>
        <w:spacing w:line="360" w:lineRule="auto"/>
        <w:ind w:firstLine="422"/>
        <w:rPr>
          <w:rFonts w:ascii="宋体" w:hAnsi="宋体"/>
          <w:b/>
          <w:color w:val="auto"/>
          <w:szCs w:val="21"/>
          <w:highlight w:val="none"/>
        </w:rPr>
      </w:pPr>
      <w:bookmarkStart w:id="46" w:name="_Toc16938541"/>
      <w:bookmarkStart w:id="47" w:name="_Toc513029225"/>
      <w:bookmarkStart w:id="48" w:name="_Toc20823297"/>
      <w:bookmarkStart w:id="49" w:name="_Toc462564084"/>
      <w:r>
        <w:rPr>
          <w:rFonts w:hint="eastAsia" w:ascii="宋体" w:hAnsi="宋体"/>
          <w:b/>
          <w:color w:val="auto"/>
          <w:szCs w:val="21"/>
          <w:highlight w:val="none"/>
        </w:rPr>
        <w:t>17、投标文件</w:t>
      </w:r>
      <w:bookmarkEnd w:id="46"/>
      <w:bookmarkEnd w:id="47"/>
      <w:bookmarkEnd w:id="48"/>
      <w:bookmarkEnd w:id="49"/>
      <w:r>
        <w:rPr>
          <w:rFonts w:hint="eastAsia" w:ascii="宋体" w:hAnsi="宋体"/>
          <w:b/>
          <w:color w:val="auto"/>
          <w:szCs w:val="21"/>
          <w:highlight w:val="none"/>
        </w:rPr>
        <w:t>的递交</w:t>
      </w:r>
    </w:p>
    <w:p w14:paraId="295B4623">
      <w:pPr>
        <w:spacing w:line="360" w:lineRule="auto"/>
        <w:ind w:firstLine="420"/>
        <w:rPr>
          <w:rFonts w:ascii="宋体" w:hAnsi="宋体"/>
          <w:bCs/>
          <w:color w:val="auto"/>
          <w:szCs w:val="21"/>
          <w:highlight w:val="none"/>
        </w:rPr>
      </w:pPr>
      <w:r>
        <w:rPr>
          <w:rFonts w:hint="eastAsia" w:ascii="宋体" w:hAnsi="宋体"/>
          <w:bCs/>
          <w:color w:val="auto"/>
          <w:szCs w:val="21"/>
          <w:highlight w:val="none"/>
        </w:rPr>
        <w:t>17.1 电子投标文件的递交投标人应当按照《操作手册》规定，在投标截止时间前制作并上传电子投标文件。</w:t>
      </w:r>
      <w:bookmarkStart w:id="50" w:name="_Toc20823298"/>
      <w:bookmarkStart w:id="51" w:name="_Toc16938542"/>
      <w:bookmarkStart w:id="52" w:name="_Toc513029226"/>
    </w:p>
    <w:p w14:paraId="22A084D4">
      <w:pPr>
        <w:spacing w:line="360" w:lineRule="auto"/>
        <w:ind w:firstLine="422"/>
        <w:rPr>
          <w:rFonts w:ascii="宋体" w:hAnsi="宋体"/>
          <w:b/>
          <w:color w:val="auto"/>
          <w:szCs w:val="21"/>
          <w:highlight w:val="none"/>
        </w:rPr>
      </w:pPr>
      <w:r>
        <w:rPr>
          <w:rFonts w:hint="eastAsia" w:ascii="宋体" w:hAnsi="宋体"/>
          <w:b/>
          <w:color w:val="auto"/>
          <w:szCs w:val="21"/>
          <w:highlight w:val="none"/>
        </w:rPr>
        <w:t>17.2</w:t>
      </w:r>
      <w:r>
        <w:rPr>
          <w:rFonts w:hint="eastAsia" w:ascii="宋体" w:hAnsi="宋体"/>
          <w:b/>
          <w:bCs/>
          <w:color w:val="auto"/>
          <w:szCs w:val="21"/>
          <w:highlight w:val="none"/>
        </w:rPr>
        <w:t>政府采购管理交易系统（苏采云）</w:t>
      </w:r>
      <w:r>
        <w:rPr>
          <w:rFonts w:hint="eastAsia" w:ascii="宋体" w:hAnsi="宋体"/>
          <w:b/>
          <w:color w:val="auto"/>
          <w:szCs w:val="21"/>
          <w:highlight w:val="none"/>
        </w:rPr>
        <w:t>相关要求是本采购文件的组成部分。</w:t>
      </w:r>
    </w:p>
    <w:p w14:paraId="47B114D6">
      <w:pPr>
        <w:spacing w:line="360" w:lineRule="auto"/>
        <w:ind w:firstLine="422"/>
        <w:rPr>
          <w:rFonts w:ascii="宋体" w:hAnsi="宋体"/>
          <w:b/>
          <w:color w:val="auto"/>
          <w:szCs w:val="21"/>
          <w:highlight w:val="none"/>
        </w:rPr>
      </w:pPr>
      <w:r>
        <w:rPr>
          <w:rFonts w:hint="eastAsia" w:ascii="宋体" w:hAnsi="宋体"/>
          <w:b/>
          <w:color w:val="auto"/>
          <w:szCs w:val="21"/>
          <w:highlight w:val="none"/>
        </w:rPr>
        <w:t>17.3投标人应对 CA 证书妥善保管，如被他人盗用投标，因此带来的结果均由投标人自行承担。</w:t>
      </w:r>
    </w:p>
    <w:p w14:paraId="5323FB85">
      <w:pPr>
        <w:spacing w:line="360" w:lineRule="auto"/>
        <w:ind w:firstLine="422"/>
        <w:rPr>
          <w:rFonts w:ascii="宋体" w:hAnsi="宋体"/>
          <w:b/>
          <w:color w:val="auto"/>
          <w:szCs w:val="21"/>
          <w:highlight w:val="none"/>
        </w:rPr>
      </w:pPr>
      <w:r>
        <w:rPr>
          <w:rFonts w:hint="eastAsia" w:ascii="宋体" w:hAnsi="宋体"/>
          <w:b/>
          <w:color w:val="auto"/>
          <w:szCs w:val="21"/>
          <w:highlight w:val="none"/>
        </w:rPr>
        <w:t>17.4投标人应当对采购文件提出的要求和条件作出实质性响应，并在电子投标系统逐条应答。</w:t>
      </w:r>
    </w:p>
    <w:p w14:paraId="2E65A12B">
      <w:pPr>
        <w:spacing w:line="360" w:lineRule="auto"/>
        <w:ind w:firstLine="422"/>
        <w:rPr>
          <w:rFonts w:ascii="宋体" w:hAnsi="宋体"/>
          <w:b/>
          <w:color w:val="auto"/>
          <w:szCs w:val="21"/>
          <w:highlight w:val="none"/>
        </w:rPr>
      </w:pPr>
      <w:r>
        <w:rPr>
          <w:rFonts w:hint="eastAsia" w:ascii="宋体" w:hAnsi="宋体"/>
          <w:b/>
          <w:color w:val="auto"/>
          <w:szCs w:val="21"/>
          <w:highlight w:val="none"/>
        </w:rPr>
        <w:t>17.5投标人应对要求提供的资格证明文件（如资质证书、资格证书）、技术资料（如白皮书、彩页、手册、检测报告等）扫描上传至投标系统。</w:t>
      </w:r>
    </w:p>
    <w:p w14:paraId="3A20847A">
      <w:pPr>
        <w:spacing w:line="360" w:lineRule="auto"/>
        <w:ind w:firstLine="422"/>
        <w:rPr>
          <w:rFonts w:ascii="宋体" w:hAnsi="宋体"/>
          <w:b/>
          <w:color w:val="auto"/>
          <w:szCs w:val="21"/>
          <w:highlight w:val="none"/>
        </w:rPr>
      </w:pPr>
      <w:r>
        <w:rPr>
          <w:rFonts w:hint="eastAsia" w:ascii="宋体" w:hAnsi="宋体"/>
          <w:b/>
          <w:color w:val="auto"/>
          <w:szCs w:val="21"/>
          <w:highlight w:val="none"/>
        </w:rPr>
        <w:t>17.6投标人应当在采购文件要求提交投标文件的截止时间前，将投标文件提交至“苏采云”系统，逾期提交的投标文件，“苏采云”系统将自动拒收。</w:t>
      </w:r>
    </w:p>
    <w:p w14:paraId="2F2EC543">
      <w:pPr>
        <w:spacing w:line="360" w:lineRule="auto"/>
        <w:ind w:firstLine="422"/>
        <w:rPr>
          <w:color w:val="auto"/>
          <w:highlight w:val="none"/>
        </w:rPr>
      </w:pPr>
      <w:r>
        <w:rPr>
          <w:rFonts w:hint="eastAsia" w:ascii="宋体" w:hAnsi="宋体"/>
          <w:b/>
          <w:color w:val="auto"/>
          <w:szCs w:val="21"/>
          <w:highlight w:val="none"/>
        </w:rPr>
        <w:t>17.7各投标人应在规定时间内凭CA证书进行网上解密。</w:t>
      </w:r>
    </w:p>
    <w:p w14:paraId="5D0BD802">
      <w:pPr>
        <w:spacing w:line="360" w:lineRule="auto"/>
        <w:ind w:firstLine="422"/>
        <w:rPr>
          <w:rFonts w:ascii="宋体" w:hAnsi="宋体"/>
          <w:b/>
          <w:color w:val="auto"/>
          <w:szCs w:val="21"/>
          <w:highlight w:val="none"/>
        </w:rPr>
      </w:pPr>
      <w:r>
        <w:rPr>
          <w:rFonts w:hint="eastAsia" w:ascii="宋体" w:hAnsi="宋体"/>
          <w:b/>
          <w:color w:val="auto"/>
          <w:szCs w:val="21"/>
          <w:highlight w:val="none"/>
        </w:rPr>
        <w:t>18、投标截止日期</w:t>
      </w:r>
      <w:bookmarkEnd w:id="50"/>
      <w:bookmarkEnd w:id="51"/>
      <w:bookmarkEnd w:id="52"/>
    </w:p>
    <w:p w14:paraId="0D1436F5">
      <w:pPr>
        <w:spacing w:line="360" w:lineRule="auto"/>
        <w:ind w:firstLine="420"/>
        <w:rPr>
          <w:rFonts w:ascii="宋体" w:hAnsi="宋体"/>
          <w:b/>
          <w:bCs w:val="0"/>
          <w:i/>
          <w:iCs/>
          <w:color w:val="auto"/>
          <w:szCs w:val="21"/>
          <w:highlight w:val="none"/>
          <w:u w:val="single"/>
        </w:rPr>
      </w:pPr>
      <w:r>
        <w:rPr>
          <w:rFonts w:hint="eastAsia" w:ascii="宋体" w:hAnsi="宋体"/>
          <w:b/>
          <w:bCs w:val="0"/>
          <w:i/>
          <w:iCs/>
          <w:color w:val="auto"/>
          <w:szCs w:val="21"/>
          <w:highlight w:val="none"/>
          <w:u w:val="single"/>
        </w:rPr>
        <w:t>18.1 投标人上传电子投标文件的时间不得迟于招标公告中规定的投标截止时间。</w:t>
      </w:r>
    </w:p>
    <w:p w14:paraId="7FA057C0">
      <w:pPr>
        <w:spacing w:line="360" w:lineRule="auto"/>
        <w:ind w:firstLine="420"/>
        <w:rPr>
          <w:rFonts w:ascii="宋体" w:hAnsi="宋体"/>
          <w:bCs/>
          <w:color w:val="auto"/>
          <w:szCs w:val="21"/>
          <w:highlight w:val="none"/>
        </w:rPr>
      </w:pPr>
      <w:r>
        <w:rPr>
          <w:rFonts w:hint="eastAsia" w:ascii="宋体" w:hAnsi="宋体"/>
          <w:bCs/>
          <w:color w:val="auto"/>
          <w:szCs w:val="21"/>
          <w:highlight w:val="none"/>
        </w:rPr>
        <w:t>投标人应充分考虑到网络环境、网络带宽等风险因素，如因投标人自身原因造成的电子投标文件上传不成功由投标人自行承担全部责任。</w:t>
      </w:r>
    </w:p>
    <w:p w14:paraId="3B6507BC">
      <w:pPr>
        <w:spacing w:line="360" w:lineRule="auto"/>
        <w:ind w:firstLine="420"/>
        <w:rPr>
          <w:rFonts w:ascii="宋体" w:hAnsi="宋体"/>
          <w:bCs/>
          <w:color w:val="auto"/>
          <w:szCs w:val="21"/>
          <w:highlight w:val="none"/>
        </w:rPr>
      </w:pPr>
      <w:r>
        <w:rPr>
          <w:rFonts w:hint="eastAsia" w:ascii="宋体" w:hAnsi="宋体"/>
          <w:bCs/>
          <w:color w:val="auto"/>
          <w:szCs w:val="21"/>
          <w:highlight w:val="none"/>
        </w:rPr>
        <w:t>18.2 代理机构可以按照规定，通过修改采购文件延长投标截止日期，在此情况下，投标人的所有权利和义务以及投标人受制的截止日期均应以延长后新的截止日期为准。</w:t>
      </w:r>
    </w:p>
    <w:p w14:paraId="490FCF5D">
      <w:pPr>
        <w:spacing w:line="360" w:lineRule="auto"/>
        <w:ind w:firstLine="422"/>
        <w:rPr>
          <w:rFonts w:ascii="宋体" w:hAnsi="宋体"/>
          <w:b/>
          <w:color w:val="auto"/>
          <w:szCs w:val="21"/>
          <w:highlight w:val="none"/>
        </w:rPr>
      </w:pPr>
      <w:bookmarkStart w:id="53" w:name="_Toc513029227"/>
      <w:bookmarkStart w:id="54" w:name="_Toc16938543"/>
      <w:bookmarkStart w:id="55" w:name="_Toc20823299"/>
      <w:r>
        <w:rPr>
          <w:rFonts w:hint="eastAsia" w:ascii="宋体" w:hAnsi="宋体"/>
          <w:b/>
          <w:color w:val="auto"/>
          <w:szCs w:val="21"/>
          <w:highlight w:val="none"/>
        </w:rPr>
        <w:t>19、投标文件</w:t>
      </w:r>
      <w:bookmarkEnd w:id="53"/>
      <w:bookmarkEnd w:id="54"/>
      <w:bookmarkEnd w:id="55"/>
      <w:r>
        <w:rPr>
          <w:rFonts w:hint="eastAsia" w:ascii="宋体" w:hAnsi="宋体"/>
          <w:b/>
          <w:color w:val="auto"/>
          <w:szCs w:val="21"/>
          <w:highlight w:val="none"/>
        </w:rPr>
        <w:t>的拒收</w:t>
      </w:r>
    </w:p>
    <w:p w14:paraId="0EBAC7B9">
      <w:pPr>
        <w:spacing w:line="360" w:lineRule="auto"/>
        <w:ind w:firstLine="420"/>
        <w:rPr>
          <w:rFonts w:ascii="宋体" w:hAnsi="宋体"/>
          <w:bCs/>
          <w:color w:val="auto"/>
          <w:szCs w:val="21"/>
          <w:highlight w:val="none"/>
        </w:rPr>
      </w:pPr>
      <w:r>
        <w:rPr>
          <w:rFonts w:hint="eastAsia" w:ascii="宋体" w:hAnsi="宋体"/>
          <w:bCs/>
          <w:color w:val="auto"/>
          <w:szCs w:val="21"/>
          <w:highlight w:val="none"/>
        </w:rPr>
        <w:t>19.1代理机构拒绝接收在其规定的投标截止时间后上传的任何投标文件。</w:t>
      </w:r>
    </w:p>
    <w:p w14:paraId="75339D85">
      <w:pPr>
        <w:spacing w:line="360" w:lineRule="auto"/>
        <w:ind w:firstLine="422"/>
        <w:rPr>
          <w:rFonts w:ascii="宋体" w:hAnsi="宋体"/>
          <w:b/>
          <w:color w:val="auto"/>
          <w:szCs w:val="21"/>
          <w:highlight w:val="none"/>
        </w:rPr>
      </w:pPr>
      <w:bookmarkStart w:id="56" w:name="_Toc16938544"/>
      <w:bookmarkStart w:id="57" w:name="_Toc513029228"/>
      <w:bookmarkStart w:id="58" w:name="_Toc20823300"/>
      <w:r>
        <w:rPr>
          <w:rFonts w:hint="eastAsia" w:ascii="宋体" w:hAnsi="宋体"/>
          <w:b/>
          <w:color w:val="auto"/>
          <w:szCs w:val="21"/>
          <w:highlight w:val="none"/>
        </w:rPr>
        <w:t>20、投标文件的撤回和修改</w:t>
      </w:r>
      <w:bookmarkEnd w:id="56"/>
      <w:bookmarkEnd w:id="57"/>
      <w:bookmarkEnd w:id="58"/>
    </w:p>
    <w:p w14:paraId="31BF3EE0">
      <w:pPr>
        <w:spacing w:line="360" w:lineRule="auto"/>
        <w:ind w:firstLine="420"/>
        <w:rPr>
          <w:rFonts w:ascii="宋体" w:hAnsi="宋体"/>
          <w:bCs/>
          <w:color w:val="auto"/>
          <w:szCs w:val="21"/>
          <w:highlight w:val="none"/>
        </w:rPr>
      </w:pPr>
      <w:r>
        <w:rPr>
          <w:rFonts w:hint="eastAsia" w:ascii="宋体" w:hAnsi="宋体"/>
          <w:bCs/>
          <w:color w:val="auto"/>
          <w:szCs w:val="21"/>
          <w:highlight w:val="none"/>
        </w:rPr>
        <w:t>20.1 投标文件的撤回</w:t>
      </w:r>
    </w:p>
    <w:p w14:paraId="6381255D">
      <w:pPr>
        <w:spacing w:line="360" w:lineRule="auto"/>
        <w:ind w:firstLine="420"/>
        <w:rPr>
          <w:rFonts w:ascii="宋体" w:hAnsi="宋体"/>
          <w:bCs/>
          <w:color w:val="auto"/>
          <w:szCs w:val="21"/>
          <w:highlight w:val="none"/>
        </w:rPr>
      </w:pPr>
      <w:r>
        <w:rPr>
          <w:rFonts w:hint="eastAsia" w:ascii="宋体" w:hAnsi="宋体"/>
          <w:bCs/>
          <w:color w:val="auto"/>
          <w:szCs w:val="21"/>
          <w:highlight w:val="none"/>
        </w:rPr>
        <w:t>20.1.1 电子投标文件的撤回</w:t>
      </w:r>
    </w:p>
    <w:p w14:paraId="1440412B">
      <w:pPr>
        <w:spacing w:line="360" w:lineRule="auto"/>
        <w:ind w:firstLine="420"/>
        <w:rPr>
          <w:rFonts w:ascii="宋体" w:hAnsi="宋体"/>
          <w:bCs/>
          <w:color w:val="auto"/>
          <w:szCs w:val="21"/>
          <w:highlight w:val="none"/>
        </w:rPr>
      </w:pPr>
      <w:r>
        <w:rPr>
          <w:rFonts w:hint="eastAsia" w:ascii="宋体" w:hAnsi="宋体"/>
          <w:bCs/>
          <w:color w:val="auto"/>
          <w:szCs w:val="21"/>
          <w:highlight w:val="none"/>
        </w:rPr>
        <w:t>投标人可在投标截止时间前，撤回其电子投标文件，具体操作方法见《操作手册》。</w:t>
      </w:r>
    </w:p>
    <w:p w14:paraId="4EF9586A">
      <w:pPr>
        <w:spacing w:line="360" w:lineRule="auto"/>
        <w:ind w:firstLine="420"/>
        <w:rPr>
          <w:rFonts w:ascii="宋体" w:hAnsi="宋体"/>
          <w:bCs/>
          <w:color w:val="auto"/>
          <w:szCs w:val="21"/>
          <w:highlight w:val="none"/>
        </w:rPr>
      </w:pPr>
      <w:r>
        <w:rPr>
          <w:rFonts w:hint="eastAsia" w:ascii="宋体" w:hAnsi="宋体"/>
          <w:bCs/>
          <w:color w:val="auto"/>
          <w:szCs w:val="21"/>
          <w:highlight w:val="none"/>
        </w:rPr>
        <w:t>20.1.2 投标人撤回电子投标文件，则认为其不再参与本项目投标活动。</w:t>
      </w:r>
    </w:p>
    <w:p w14:paraId="3A60E0A0">
      <w:pPr>
        <w:spacing w:line="360" w:lineRule="auto"/>
        <w:ind w:firstLine="420"/>
        <w:rPr>
          <w:rFonts w:ascii="宋体" w:hAnsi="宋体"/>
          <w:bCs/>
          <w:color w:val="auto"/>
          <w:szCs w:val="21"/>
          <w:highlight w:val="none"/>
        </w:rPr>
      </w:pPr>
      <w:r>
        <w:rPr>
          <w:rFonts w:hint="eastAsia" w:ascii="宋体" w:hAnsi="宋体"/>
          <w:bCs/>
          <w:color w:val="auto"/>
          <w:szCs w:val="21"/>
          <w:highlight w:val="none"/>
        </w:rPr>
        <w:t>20.2 投标文件的修改</w:t>
      </w:r>
    </w:p>
    <w:p w14:paraId="0DC91DAB">
      <w:pPr>
        <w:spacing w:line="360" w:lineRule="auto"/>
        <w:ind w:firstLine="420"/>
        <w:rPr>
          <w:rFonts w:ascii="宋体" w:hAnsi="宋体"/>
          <w:bCs/>
          <w:color w:val="auto"/>
          <w:szCs w:val="21"/>
          <w:highlight w:val="none"/>
        </w:rPr>
      </w:pPr>
      <w:r>
        <w:rPr>
          <w:rFonts w:hint="eastAsia" w:ascii="宋体" w:hAnsi="宋体"/>
          <w:bCs/>
          <w:color w:val="auto"/>
          <w:szCs w:val="21"/>
          <w:highlight w:val="none"/>
        </w:rPr>
        <w:t>投标人可在投标截止时间前，对其电子投标文件进行修改，具体操作方法见《操作手册》。</w:t>
      </w:r>
    </w:p>
    <w:p w14:paraId="4E9664CB">
      <w:pPr>
        <w:spacing w:line="360" w:lineRule="auto"/>
        <w:ind w:firstLine="420"/>
        <w:rPr>
          <w:rFonts w:ascii="宋体" w:hAnsi="宋体"/>
          <w:bCs/>
          <w:color w:val="auto"/>
          <w:szCs w:val="21"/>
          <w:highlight w:val="none"/>
        </w:rPr>
      </w:pPr>
      <w:r>
        <w:rPr>
          <w:rFonts w:hint="eastAsia" w:ascii="宋体" w:hAnsi="宋体"/>
          <w:bCs/>
          <w:color w:val="auto"/>
          <w:szCs w:val="21"/>
          <w:highlight w:val="none"/>
        </w:rPr>
        <w:t>20.3 在投标截止时间之后，投标人不得对其电子投标文件作任何修改。</w:t>
      </w:r>
    </w:p>
    <w:p w14:paraId="16E28196">
      <w:pPr>
        <w:spacing w:line="360" w:lineRule="auto"/>
        <w:ind w:firstLine="420"/>
        <w:rPr>
          <w:rFonts w:ascii="宋体" w:hAnsi="宋体"/>
          <w:bCs/>
          <w:color w:val="auto"/>
          <w:szCs w:val="21"/>
          <w:highlight w:val="none"/>
        </w:rPr>
      </w:pPr>
      <w:r>
        <w:rPr>
          <w:rFonts w:hint="eastAsia" w:ascii="宋体" w:hAnsi="宋体"/>
          <w:bCs/>
          <w:color w:val="auto"/>
          <w:szCs w:val="21"/>
          <w:highlight w:val="none"/>
        </w:rPr>
        <w:t>20.4 在投标截止时间至采购文件中规定的投标有效期满之间的这段时间内，投标人不得撤回其投标。</w:t>
      </w:r>
    </w:p>
    <w:p w14:paraId="1740E208">
      <w:pPr>
        <w:spacing w:line="360" w:lineRule="auto"/>
        <w:ind w:firstLine="422"/>
        <w:rPr>
          <w:rFonts w:ascii="宋体" w:hAnsi="宋体"/>
          <w:b/>
          <w:color w:val="auto"/>
          <w:szCs w:val="21"/>
          <w:highlight w:val="none"/>
        </w:rPr>
      </w:pPr>
      <w:r>
        <w:rPr>
          <w:rFonts w:hint="eastAsia" w:ascii="宋体" w:hAnsi="宋体"/>
          <w:b/>
          <w:color w:val="auto"/>
          <w:szCs w:val="21"/>
          <w:highlight w:val="none"/>
        </w:rPr>
        <w:t>21、开标</w:t>
      </w:r>
    </w:p>
    <w:p w14:paraId="629078CC">
      <w:pPr>
        <w:spacing w:line="360" w:lineRule="auto"/>
        <w:ind w:firstLine="420"/>
        <w:rPr>
          <w:rFonts w:ascii="宋体" w:hAnsi="宋体"/>
          <w:bCs/>
          <w:color w:val="auto"/>
          <w:szCs w:val="21"/>
          <w:highlight w:val="none"/>
        </w:rPr>
      </w:pPr>
      <w:r>
        <w:rPr>
          <w:rFonts w:hint="eastAsia" w:ascii="宋体" w:hAnsi="宋体"/>
          <w:bCs/>
          <w:color w:val="auto"/>
          <w:szCs w:val="21"/>
          <w:highlight w:val="none"/>
        </w:rPr>
        <w:t>21.1 代理机构将在招标公告中规定的时间和地点组织公开开标。投标人应当按照《操作手册》规定，参加开标活动。投标人未参加开标的，视同认可开标结果。</w:t>
      </w:r>
    </w:p>
    <w:p w14:paraId="32F845D1">
      <w:pP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21.2开标仪式由代理机构组织。“政府采购管理交易系统（苏采云）”将自动对项目进行开标，并宣读各投标人的《开标一览表》。</w:t>
      </w:r>
    </w:p>
    <w:p w14:paraId="63363C49">
      <w:pPr>
        <w:spacing w:line="360" w:lineRule="auto"/>
        <w:ind w:firstLine="420"/>
        <w:rPr>
          <w:rFonts w:ascii="宋体" w:hAnsi="宋体"/>
          <w:bCs/>
          <w:color w:val="auto"/>
          <w:szCs w:val="21"/>
          <w:highlight w:val="none"/>
        </w:rPr>
      </w:pPr>
      <w:r>
        <w:rPr>
          <w:rFonts w:hint="eastAsia" w:ascii="宋体" w:hAnsi="宋体"/>
          <w:bCs/>
          <w:color w:val="auto"/>
          <w:szCs w:val="21"/>
          <w:highlight w:val="none"/>
        </w:rPr>
        <w:t>21.3投标人在开标过程中涉及到的投标文件解密、开标结果确认等工作，应按照《操作手册》规定执行。</w:t>
      </w:r>
    </w:p>
    <w:p w14:paraId="671C232A">
      <w:pPr>
        <w:spacing w:line="360" w:lineRule="auto"/>
        <w:ind w:firstLine="422"/>
        <w:rPr>
          <w:rFonts w:ascii="宋体" w:hAnsi="宋体"/>
          <w:b/>
          <w:color w:val="auto"/>
          <w:szCs w:val="21"/>
          <w:highlight w:val="none"/>
        </w:rPr>
      </w:pPr>
      <w:r>
        <w:rPr>
          <w:rFonts w:hint="eastAsia" w:ascii="宋体" w:hAnsi="宋体"/>
          <w:b/>
          <w:color w:val="auto"/>
          <w:szCs w:val="21"/>
          <w:highlight w:val="none"/>
        </w:rPr>
        <w:t>22、评标委员会</w:t>
      </w:r>
    </w:p>
    <w:p w14:paraId="2F24EAD1">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p>
    <w:p w14:paraId="5ED74359">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p>
    <w:p w14:paraId="6A174B1C">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p>
    <w:p w14:paraId="07087A72">
      <w:pPr>
        <w:spacing w:line="360" w:lineRule="auto"/>
        <w:ind w:firstLine="422"/>
        <w:rPr>
          <w:rFonts w:ascii="宋体" w:hAnsi="宋体"/>
          <w:b/>
          <w:color w:val="auto"/>
          <w:szCs w:val="21"/>
          <w:highlight w:val="none"/>
        </w:rPr>
      </w:pPr>
      <w:r>
        <w:rPr>
          <w:rFonts w:hint="eastAsia" w:ascii="宋体" w:hAnsi="宋体"/>
          <w:b/>
          <w:color w:val="auto"/>
          <w:szCs w:val="21"/>
          <w:highlight w:val="none"/>
        </w:rPr>
        <w:t>23、评标过程的保密与公正</w:t>
      </w:r>
    </w:p>
    <w:p w14:paraId="2E7C84E3">
      <w:pPr>
        <w:spacing w:line="360" w:lineRule="auto"/>
        <w:ind w:firstLine="420"/>
        <w:rPr>
          <w:rFonts w:ascii="宋体" w:hAnsi="宋体"/>
          <w:bCs/>
          <w:color w:val="auto"/>
          <w:szCs w:val="21"/>
          <w:highlight w:val="none"/>
        </w:rPr>
      </w:pPr>
      <w:r>
        <w:rPr>
          <w:rFonts w:hint="eastAsia" w:ascii="宋体" w:hAnsi="宋体"/>
          <w:bCs/>
          <w:color w:val="auto"/>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051D35A2">
      <w:pPr>
        <w:spacing w:line="360" w:lineRule="auto"/>
        <w:ind w:firstLine="420"/>
        <w:rPr>
          <w:rFonts w:ascii="宋体" w:hAnsi="宋体"/>
          <w:bCs/>
          <w:color w:val="auto"/>
          <w:szCs w:val="21"/>
          <w:highlight w:val="none"/>
        </w:rPr>
      </w:pPr>
      <w:r>
        <w:rPr>
          <w:rFonts w:hint="eastAsia" w:ascii="宋体" w:hAnsi="宋体"/>
          <w:bCs/>
          <w:color w:val="auto"/>
          <w:szCs w:val="21"/>
          <w:highlight w:val="none"/>
        </w:rPr>
        <w:t>23.2在评标过程中，投标人不得以任何行为影响评标过程，否则其投标文件将被作为无效投标文件。</w:t>
      </w:r>
    </w:p>
    <w:p w14:paraId="01EBE256">
      <w:pPr>
        <w:spacing w:line="360" w:lineRule="auto"/>
        <w:ind w:firstLine="420"/>
        <w:rPr>
          <w:rFonts w:ascii="宋体" w:hAnsi="宋体"/>
          <w:bCs/>
          <w:color w:val="auto"/>
          <w:szCs w:val="21"/>
          <w:highlight w:val="none"/>
        </w:rPr>
      </w:pPr>
      <w:r>
        <w:rPr>
          <w:rFonts w:hint="eastAsia" w:ascii="宋体" w:hAnsi="宋体"/>
          <w:bCs/>
          <w:color w:val="auto"/>
          <w:szCs w:val="21"/>
          <w:highlight w:val="none"/>
        </w:rPr>
        <w:t>23.3 在评标期间，代理机构将设专门工作人员与投标人联系。</w:t>
      </w:r>
    </w:p>
    <w:p w14:paraId="77AE682C">
      <w:pPr>
        <w:spacing w:line="360" w:lineRule="auto"/>
        <w:ind w:firstLine="420"/>
        <w:rPr>
          <w:rFonts w:ascii="宋体" w:hAnsi="宋体"/>
          <w:bCs/>
          <w:color w:val="auto"/>
          <w:szCs w:val="21"/>
          <w:highlight w:val="none"/>
        </w:rPr>
      </w:pPr>
      <w:r>
        <w:rPr>
          <w:rFonts w:hint="eastAsia" w:ascii="宋体" w:hAnsi="宋体"/>
          <w:bCs/>
          <w:color w:val="auto"/>
          <w:szCs w:val="21"/>
          <w:highlight w:val="none"/>
        </w:rPr>
        <w:t>23.4 代理机构和评委会不向未中标的投标人解释未中标原因，也不公布评标过程中的相关细节。</w:t>
      </w:r>
    </w:p>
    <w:p w14:paraId="3C23DBD2">
      <w:pPr>
        <w:spacing w:line="360" w:lineRule="auto"/>
        <w:ind w:firstLine="420"/>
        <w:rPr>
          <w:rFonts w:ascii="宋体" w:hAnsi="宋体"/>
          <w:bCs/>
          <w:color w:val="auto"/>
          <w:szCs w:val="21"/>
          <w:highlight w:val="none"/>
        </w:rPr>
      </w:pPr>
      <w:r>
        <w:rPr>
          <w:rFonts w:hint="eastAsia" w:ascii="宋体" w:hAnsi="宋体"/>
          <w:bCs/>
          <w:color w:val="auto"/>
          <w:szCs w:val="21"/>
          <w:highlight w:val="none"/>
        </w:rPr>
        <w:t>23.5 采用综合评分法的项目，未中标的投标人可于中标结果公告期限届满之日起通过“政府采购管理交易系统（苏采云）”查看自己的评审得分及排序情况。</w:t>
      </w:r>
    </w:p>
    <w:p w14:paraId="532DFA52">
      <w:pPr>
        <w:spacing w:line="360" w:lineRule="auto"/>
        <w:ind w:firstLine="422"/>
        <w:rPr>
          <w:rFonts w:ascii="宋体" w:hAnsi="宋体"/>
          <w:b/>
          <w:color w:val="auto"/>
          <w:szCs w:val="21"/>
          <w:highlight w:val="none"/>
        </w:rPr>
      </w:pPr>
      <w:r>
        <w:rPr>
          <w:rFonts w:hint="eastAsia" w:ascii="宋体" w:hAnsi="宋体"/>
          <w:b/>
          <w:color w:val="auto"/>
          <w:szCs w:val="21"/>
          <w:highlight w:val="none"/>
        </w:rPr>
        <w:t>24、投标的澄清</w:t>
      </w:r>
    </w:p>
    <w:p w14:paraId="3652595E">
      <w:pPr>
        <w:spacing w:line="360" w:lineRule="auto"/>
        <w:ind w:firstLine="420"/>
        <w:rPr>
          <w:rFonts w:ascii="宋体" w:hAnsi="宋体"/>
          <w:bCs/>
          <w:color w:val="auto"/>
          <w:szCs w:val="21"/>
          <w:highlight w:val="none"/>
        </w:rPr>
      </w:pPr>
      <w:r>
        <w:rPr>
          <w:rFonts w:hint="eastAsia" w:ascii="宋体" w:hAnsi="宋体"/>
          <w:bCs/>
          <w:color w:val="auto"/>
          <w:szCs w:val="21"/>
          <w:highlight w:val="none"/>
        </w:rPr>
        <w:t>24.1评标期间，为有助于对投标文件的审查、评价和比较，评委会有权以电子函件形式要求投标人对其投标文件进行澄清，但并非对每个投标人都作澄清要求。</w:t>
      </w:r>
    </w:p>
    <w:p w14:paraId="6EE201BE">
      <w:pPr>
        <w:spacing w:line="360" w:lineRule="auto"/>
        <w:ind w:firstLine="420"/>
        <w:rPr>
          <w:rFonts w:ascii="宋体" w:hAnsi="宋体"/>
          <w:bCs/>
          <w:color w:val="auto"/>
          <w:szCs w:val="21"/>
          <w:highlight w:val="none"/>
        </w:rPr>
      </w:pPr>
      <w:r>
        <w:rPr>
          <w:rFonts w:hint="eastAsia" w:ascii="宋体" w:hAnsi="宋体"/>
          <w:bCs/>
          <w:color w:val="auto"/>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5EE5241E">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p>
    <w:p w14:paraId="02D90F83">
      <w:pPr>
        <w:spacing w:line="360" w:lineRule="auto"/>
        <w:ind w:firstLine="422"/>
        <w:rPr>
          <w:rFonts w:ascii="宋体" w:hAnsi="宋体"/>
          <w:b/>
          <w:color w:val="auto"/>
          <w:szCs w:val="21"/>
          <w:highlight w:val="none"/>
        </w:rPr>
      </w:pPr>
      <w:r>
        <w:rPr>
          <w:rFonts w:hint="eastAsia" w:ascii="宋体" w:hAnsi="宋体"/>
          <w:b/>
          <w:color w:val="auto"/>
          <w:szCs w:val="21"/>
          <w:highlight w:val="none"/>
        </w:rPr>
        <w:t>25、对投标文件的初审</w:t>
      </w:r>
    </w:p>
    <w:p w14:paraId="4E28894A">
      <w:pPr>
        <w:spacing w:line="360" w:lineRule="auto"/>
        <w:ind w:firstLine="420"/>
        <w:rPr>
          <w:rFonts w:ascii="宋体" w:hAnsi="宋体"/>
          <w:bCs/>
          <w:color w:val="auto"/>
          <w:szCs w:val="21"/>
          <w:highlight w:val="none"/>
        </w:rPr>
      </w:pPr>
      <w:r>
        <w:rPr>
          <w:rFonts w:hint="eastAsia" w:ascii="宋体" w:hAnsi="宋体"/>
          <w:bCs/>
          <w:color w:val="auto"/>
          <w:szCs w:val="21"/>
          <w:highlight w:val="none"/>
        </w:rPr>
        <w:t>25.1投标文件初审分为资格审查和符合性审查。</w:t>
      </w:r>
    </w:p>
    <w:p w14:paraId="4CC04BAF">
      <w:pPr>
        <w:spacing w:line="360" w:lineRule="auto"/>
        <w:ind w:firstLine="420"/>
        <w:rPr>
          <w:rFonts w:ascii="宋体" w:hAnsi="宋体"/>
          <w:bCs/>
          <w:color w:val="auto"/>
          <w:szCs w:val="21"/>
          <w:highlight w:val="none"/>
        </w:rPr>
      </w:pPr>
      <w:r>
        <w:rPr>
          <w:rFonts w:hint="eastAsia" w:ascii="宋体" w:hAnsi="宋体"/>
          <w:bCs/>
          <w:color w:val="auto"/>
          <w:szCs w:val="21"/>
          <w:highlight w:val="none"/>
        </w:rPr>
        <w:t>25.1.1资格审查：依据法律法规和采购文件的规定，由采购人对投标文件中的资格证明文件进行审查。并将审查结论以书面形式向评委会反馈。</w:t>
      </w:r>
    </w:p>
    <w:p w14:paraId="6355805B">
      <w:pPr>
        <w:spacing w:line="360" w:lineRule="auto"/>
        <w:ind w:firstLine="420"/>
        <w:rPr>
          <w:rFonts w:ascii="宋体" w:hAnsi="宋体"/>
          <w:bCs/>
          <w:color w:val="auto"/>
          <w:szCs w:val="21"/>
          <w:highlight w:val="none"/>
        </w:rPr>
      </w:pPr>
      <w:r>
        <w:rPr>
          <w:rFonts w:hint="eastAsia" w:ascii="宋体" w:hAnsi="宋体"/>
          <w:bCs/>
          <w:color w:val="auto"/>
          <w:szCs w:val="21"/>
          <w:highlight w:val="none"/>
        </w:rPr>
        <w:t>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p>
    <w:p w14:paraId="2267EC97">
      <w:pPr>
        <w:spacing w:line="360" w:lineRule="auto"/>
        <w:ind w:firstLine="420"/>
        <w:rPr>
          <w:rFonts w:ascii="宋体" w:hAnsi="宋体"/>
          <w:bCs/>
          <w:color w:val="auto"/>
          <w:szCs w:val="21"/>
          <w:highlight w:val="none"/>
        </w:rPr>
      </w:pPr>
      <w:r>
        <w:rPr>
          <w:rFonts w:hint="eastAsia" w:ascii="宋体" w:hAnsi="宋体"/>
          <w:bCs/>
          <w:color w:val="auto"/>
          <w:szCs w:val="21"/>
          <w:highlight w:val="none"/>
        </w:rPr>
        <w:t>若接受联合体投标的项目，两个以上的自然人、法人或者其他组织组成一个联合体，以一个投标人的身份共同参加政府采购活动的,联合体成员存在不良信用记录的，视同联合体存在不良信用记录。</w:t>
      </w:r>
    </w:p>
    <w:p w14:paraId="6BE0CE98">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25.1.2符合性检查：依据采购文件的规定，由评委会从投标文件的有效性、完整性和对采购文件的响应程度进行审查，以确定是否对采购文件的实质性要求作出响应。</w:t>
      </w:r>
    </w:p>
    <w:p w14:paraId="255B1899">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评审委员会启动异常低价投标（响应）审查的情形和具体要求，包括：</w:t>
      </w:r>
    </w:p>
    <w:p w14:paraId="16B60E5B">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（1）评审过程中出现下列情形之一的，评审委员会应当启动异常低价投标（响应）审查程序：</w:t>
      </w:r>
    </w:p>
    <w:p w14:paraId="570FAE31">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①投标（响应）报价低于采购项目预算50%的，即投标（响应）报价&lt;采购项目预算×50%；</w:t>
      </w:r>
    </w:p>
    <w:p w14:paraId="51A43481">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②投标（响应）报价低于采购项目最高限价45%的，即投标（响应）报价&lt;采购项目最高限价×45%；</w:t>
      </w:r>
    </w:p>
    <w:p w14:paraId="63A52709">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③评审委员会认定的供应商报价过低、有可能影响产品质量或者不能诚信履约的其他情形。</w:t>
      </w:r>
    </w:p>
    <w:p w14:paraId="162071ED">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FF7966C">
      <w:pPr>
        <w:spacing w:line="360" w:lineRule="auto"/>
        <w:ind w:firstLine="420"/>
        <w:rPr>
          <w:rFonts w:ascii="宋体" w:hAnsi="宋体"/>
          <w:bCs/>
          <w:color w:val="auto"/>
          <w:szCs w:val="21"/>
          <w:highlight w:val="none"/>
        </w:rPr>
      </w:pPr>
      <w:r>
        <w:rPr>
          <w:rFonts w:hint="eastAsia" w:ascii="宋体" w:hAnsi="宋体"/>
          <w:bCs/>
          <w:color w:val="auto"/>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04241B2C">
      <w:pPr>
        <w:spacing w:line="360" w:lineRule="auto"/>
        <w:ind w:firstLine="420"/>
        <w:rPr>
          <w:rFonts w:ascii="宋体" w:hAnsi="宋体"/>
          <w:bCs/>
          <w:color w:val="auto"/>
          <w:szCs w:val="21"/>
          <w:highlight w:val="none"/>
        </w:rPr>
      </w:pPr>
      <w:r>
        <w:rPr>
          <w:rFonts w:hint="eastAsia" w:ascii="宋体" w:hAnsi="宋体"/>
          <w:bCs/>
          <w:color w:val="auto"/>
          <w:szCs w:val="21"/>
          <w:highlight w:val="none"/>
        </w:rPr>
        <w:t>25.2在详细评标之前，评委会将首先审查每份投标文件是否实质性响应了采购文件的要求。实质性响应的投标应该是与采购文件要求的全部条款、条件和规格相符，没有重大偏离或保留的投标。</w:t>
      </w:r>
    </w:p>
    <w:p w14:paraId="2BBF47E0">
      <w:pPr>
        <w:spacing w:line="360" w:lineRule="auto"/>
        <w:ind w:firstLine="420"/>
        <w:rPr>
          <w:rFonts w:ascii="宋体" w:hAnsi="宋体"/>
          <w:bCs/>
          <w:color w:val="auto"/>
          <w:szCs w:val="21"/>
          <w:highlight w:val="none"/>
        </w:rPr>
      </w:pPr>
      <w:r>
        <w:rPr>
          <w:rFonts w:hint="eastAsia" w:ascii="宋体" w:hAnsi="宋体"/>
          <w:bCs/>
          <w:color w:val="auto"/>
          <w:szCs w:val="21"/>
          <w:highlight w:val="none"/>
        </w:rPr>
        <w:t>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442B653E">
      <w:pPr>
        <w:spacing w:line="360" w:lineRule="auto"/>
        <w:ind w:firstLine="420"/>
        <w:rPr>
          <w:rFonts w:ascii="宋体" w:hAnsi="宋体"/>
          <w:bCs/>
          <w:color w:val="auto"/>
          <w:szCs w:val="21"/>
          <w:highlight w:val="none"/>
        </w:rPr>
      </w:pPr>
      <w:r>
        <w:rPr>
          <w:rFonts w:hint="eastAsia" w:ascii="宋体" w:hAnsi="宋体"/>
          <w:bCs/>
          <w:color w:val="auto"/>
          <w:szCs w:val="21"/>
          <w:highlight w:val="none"/>
        </w:rPr>
        <w:t>25.3如果投标文件实质上没有响应采购文件的要求，评委会将予以拒绝，投标人不得通过修改或撤销不合要求的偏离或保留而使其投标成为实质性响应的投标。</w:t>
      </w:r>
    </w:p>
    <w:p w14:paraId="6E3F0ED2">
      <w:pPr>
        <w:spacing w:line="360" w:lineRule="auto"/>
        <w:ind w:firstLine="420"/>
        <w:rPr>
          <w:rFonts w:ascii="宋体" w:hAnsi="宋体"/>
          <w:bCs/>
          <w:color w:val="auto"/>
          <w:szCs w:val="21"/>
          <w:highlight w:val="none"/>
        </w:rPr>
      </w:pPr>
      <w:r>
        <w:rPr>
          <w:rFonts w:hint="eastAsia" w:ascii="宋体" w:hAnsi="宋体"/>
          <w:bCs/>
          <w:color w:val="auto"/>
          <w:szCs w:val="21"/>
          <w:highlight w:val="none"/>
        </w:rPr>
        <w:t>25.4评委会将对确定为实质性响应的投标进行进一步审核，看其是否有计算上或累加上的算术错误，修正错误的原则如下：</w:t>
      </w:r>
    </w:p>
    <w:p w14:paraId="4FF684F3">
      <w:pPr>
        <w:spacing w:line="360" w:lineRule="auto"/>
        <w:ind w:firstLine="420"/>
        <w:rPr>
          <w:rFonts w:ascii="宋体" w:hAnsi="宋体"/>
          <w:bCs/>
          <w:color w:val="auto"/>
          <w:szCs w:val="21"/>
          <w:highlight w:val="none"/>
        </w:rPr>
      </w:pPr>
      <w:r>
        <w:rPr>
          <w:rFonts w:hint="eastAsia" w:ascii="宋体" w:hAnsi="宋体"/>
          <w:bCs/>
          <w:color w:val="auto"/>
          <w:szCs w:val="21"/>
          <w:highlight w:val="none"/>
        </w:rPr>
        <w:t>（1）投标文件中开标一览表内容与投标文件中相应内容不一致的，以开标一览表为准。</w:t>
      </w:r>
    </w:p>
    <w:p w14:paraId="5B13CAD8">
      <w:pPr>
        <w:spacing w:line="360" w:lineRule="auto"/>
        <w:ind w:firstLine="420"/>
        <w:rPr>
          <w:rFonts w:ascii="宋体" w:hAnsi="宋体"/>
          <w:bCs/>
          <w:color w:val="auto"/>
          <w:szCs w:val="21"/>
          <w:highlight w:val="none"/>
        </w:rPr>
      </w:pPr>
      <w:r>
        <w:rPr>
          <w:rFonts w:hint="eastAsia" w:ascii="宋体" w:hAnsi="宋体"/>
          <w:bCs/>
          <w:color w:val="auto"/>
          <w:szCs w:val="21"/>
          <w:highlight w:val="none"/>
        </w:rPr>
        <w:t>（2）大写金额与小写金额不一致的，以大写金额为准。</w:t>
      </w:r>
    </w:p>
    <w:p w14:paraId="43AAE764">
      <w:pPr>
        <w:spacing w:line="360" w:lineRule="auto"/>
        <w:ind w:firstLine="420"/>
        <w:rPr>
          <w:rFonts w:ascii="宋体" w:hAnsi="宋体"/>
          <w:bCs/>
          <w:color w:val="auto"/>
          <w:szCs w:val="21"/>
          <w:highlight w:val="none"/>
        </w:rPr>
      </w:pPr>
      <w:r>
        <w:rPr>
          <w:rFonts w:hint="eastAsia" w:ascii="宋体" w:hAnsi="宋体"/>
          <w:bCs/>
          <w:color w:val="auto"/>
          <w:szCs w:val="21"/>
          <w:highlight w:val="none"/>
        </w:rPr>
        <w:t>（3）单价金额小数点或者百分比有明显错位的，以开标一览表的总价为准，并修改单价。</w:t>
      </w:r>
    </w:p>
    <w:p w14:paraId="7C7D61EA">
      <w:pPr>
        <w:spacing w:line="360" w:lineRule="auto"/>
        <w:ind w:firstLine="420"/>
        <w:rPr>
          <w:rFonts w:ascii="宋体" w:hAnsi="宋体"/>
          <w:bCs/>
          <w:color w:val="auto"/>
          <w:szCs w:val="21"/>
          <w:highlight w:val="none"/>
        </w:rPr>
      </w:pPr>
      <w:r>
        <w:rPr>
          <w:rFonts w:hint="eastAsia" w:ascii="宋体" w:hAnsi="宋体"/>
          <w:bCs/>
          <w:color w:val="auto"/>
          <w:szCs w:val="21"/>
          <w:highlight w:val="none"/>
        </w:rPr>
        <w:t>（4）总价金额与按单价汇总金额不一致的，以单价金额计算结果为准。</w:t>
      </w:r>
    </w:p>
    <w:p w14:paraId="0CBFBA42">
      <w:pPr>
        <w:spacing w:line="360" w:lineRule="auto"/>
        <w:ind w:firstLine="420"/>
        <w:rPr>
          <w:rFonts w:ascii="宋体" w:hAnsi="宋体"/>
          <w:bCs/>
          <w:color w:val="auto"/>
          <w:szCs w:val="21"/>
          <w:highlight w:val="none"/>
        </w:rPr>
      </w:pPr>
      <w:r>
        <w:rPr>
          <w:rFonts w:hint="eastAsia" w:ascii="宋体" w:hAnsi="宋体"/>
          <w:bCs/>
          <w:color w:val="auto"/>
          <w:szCs w:val="21"/>
          <w:highlight w:val="none"/>
        </w:rPr>
        <w:t>同时出现两种以上错误的，按照前款规定的顺序修正。</w:t>
      </w:r>
    </w:p>
    <w:p w14:paraId="4C139065">
      <w:pPr>
        <w:spacing w:line="360" w:lineRule="auto"/>
        <w:ind w:firstLine="420"/>
        <w:rPr>
          <w:rFonts w:ascii="宋体" w:hAnsi="宋体"/>
          <w:bCs/>
          <w:color w:val="auto"/>
          <w:szCs w:val="21"/>
          <w:highlight w:val="none"/>
        </w:rPr>
      </w:pPr>
      <w:r>
        <w:rPr>
          <w:rFonts w:hint="eastAsia" w:ascii="宋体" w:hAnsi="宋体"/>
          <w:bCs/>
          <w:color w:val="auto"/>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67A1EF80">
      <w:pPr>
        <w:spacing w:line="360" w:lineRule="auto"/>
        <w:ind w:firstLine="420"/>
        <w:rPr>
          <w:rFonts w:ascii="宋体" w:hAnsi="宋体"/>
          <w:bCs/>
          <w:color w:val="auto"/>
          <w:szCs w:val="21"/>
          <w:highlight w:val="none"/>
        </w:rPr>
      </w:pPr>
      <w:r>
        <w:rPr>
          <w:rFonts w:hint="eastAsia" w:ascii="宋体" w:hAnsi="宋体"/>
          <w:bCs/>
          <w:color w:val="auto"/>
          <w:szCs w:val="21"/>
          <w:highlight w:val="none"/>
        </w:rPr>
        <w:t>25.6评委会将允许修正投标文件中不构成重大偏离的、微小的、非正规的、不一致的或不规则的地方，但这些修改不能影响任何投标人相应的名次排列。</w:t>
      </w:r>
    </w:p>
    <w:p w14:paraId="176D4F7F">
      <w:pPr>
        <w:spacing w:line="360" w:lineRule="auto"/>
        <w:ind w:firstLine="420"/>
        <w:rPr>
          <w:rFonts w:ascii="宋体" w:hAnsi="宋体"/>
          <w:bCs/>
          <w:color w:val="auto"/>
          <w:szCs w:val="21"/>
          <w:highlight w:val="none"/>
        </w:rPr>
      </w:pPr>
      <w:r>
        <w:rPr>
          <w:rFonts w:hint="eastAsia" w:ascii="宋体" w:hAnsi="宋体"/>
          <w:bCs/>
          <w:color w:val="auto"/>
          <w:szCs w:val="21"/>
          <w:highlight w:val="none"/>
        </w:rPr>
        <w:t>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p>
    <w:p w14:paraId="1A77BDA9">
      <w:pPr>
        <w:spacing w:line="360" w:lineRule="auto"/>
        <w:ind w:firstLine="420"/>
        <w:rPr>
          <w:rFonts w:ascii="宋体" w:hAnsi="宋体"/>
          <w:bCs/>
          <w:color w:val="auto"/>
          <w:szCs w:val="21"/>
          <w:highlight w:val="none"/>
        </w:rPr>
      </w:pPr>
      <w:r>
        <w:rPr>
          <w:rFonts w:hint="eastAsia" w:ascii="宋体" w:hAnsi="宋体"/>
          <w:bCs/>
          <w:color w:val="auto"/>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p>
    <w:p w14:paraId="6C7A1D79">
      <w:pPr>
        <w:spacing w:line="360" w:lineRule="auto"/>
        <w:ind w:firstLine="420"/>
        <w:rPr>
          <w:rFonts w:ascii="宋体" w:hAnsi="宋体"/>
          <w:bCs/>
          <w:color w:val="auto"/>
          <w:szCs w:val="21"/>
          <w:highlight w:val="none"/>
        </w:rPr>
      </w:pPr>
      <w:r>
        <w:rPr>
          <w:rFonts w:hint="eastAsia" w:ascii="宋体" w:hAnsi="宋体"/>
          <w:bCs/>
          <w:color w:val="auto"/>
          <w:szCs w:val="21"/>
          <w:highlight w:val="none"/>
        </w:rPr>
        <w:t>非单一产品采购项目，采购文件中将载明其中的核心产品。多家投标人提供的核心产品品牌相同的，按前两款规定处理。</w:t>
      </w:r>
      <w:r>
        <w:rPr>
          <w:rFonts w:hint="eastAsia" w:ascii="宋体" w:hAnsi="宋体"/>
          <w:b/>
          <w:color w:val="auto"/>
          <w:szCs w:val="21"/>
          <w:highlight w:val="none"/>
        </w:rPr>
        <w:t>本项目核心产品为：</w:t>
      </w:r>
      <w:r>
        <w:rPr>
          <w:rFonts w:hint="eastAsia" w:ascii="宋体" w:hAnsi="宋体"/>
          <w:b/>
          <w:color w:val="auto"/>
          <w:szCs w:val="21"/>
          <w:highlight w:val="none"/>
          <w:u w:val="single"/>
          <w:lang w:val="en-US" w:eastAsia="zh-CN"/>
        </w:rPr>
        <w:t xml:space="preserve"> 光学相干断层扫描仪 </w:t>
      </w:r>
      <w:r>
        <w:rPr>
          <w:rFonts w:hint="eastAsia" w:ascii="宋体" w:hAnsi="宋体"/>
          <w:b/>
          <w:color w:val="auto"/>
          <w:szCs w:val="21"/>
          <w:highlight w:val="none"/>
        </w:rPr>
        <w:t>。</w:t>
      </w:r>
    </w:p>
    <w:p w14:paraId="13BBAA2D">
      <w:pPr>
        <w:spacing w:line="360" w:lineRule="auto"/>
        <w:ind w:firstLine="420"/>
        <w:rPr>
          <w:rFonts w:ascii="宋体" w:hAnsi="宋体"/>
          <w:bCs/>
          <w:color w:val="auto"/>
          <w:szCs w:val="21"/>
          <w:highlight w:val="none"/>
        </w:rPr>
      </w:pPr>
      <w:r>
        <w:rPr>
          <w:rFonts w:hint="eastAsia" w:ascii="宋体" w:hAnsi="宋体"/>
          <w:bCs/>
          <w:color w:val="auto"/>
          <w:szCs w:val="21"/>
          <w:highlight w:val="none"/>
        </w:rPr>
        <w:t>25.8 投标人在开、评标全过程中应保持通讯畅通，并安排专人与代理机构及评委会联系。</w:t>
      </w:r>
    </w:p>
    <w:p w14:paraId="5C510674">
      <w:pPr>
        <w:spacing w:line="360" w:lineRule="auto"/>
        <w:ind w:firstLine="422"/>
        <w:rPr>
          <w:rFonts w:ascii="宋体" w:hAnsi="宋体"/>
          <w:b/>
          <w:color w:val="auto"/>
          <w:szCs w:val="21"/>
          <w:highlight w:val="none"/>
        </w:rPr>
      </w:pPr>
      <w:r>
        <w:rPr>
          <w:rFonts w:hint="eastAsia" w:ascii="宋体" w:hAnsi="宋体"/>
          <w:b/>
          <w:color w:val="auto"/>
          <w:szCs w:val="21"/>
          <w:highlight w:val="none"/>
        </w:rPr>
        <w:t>26、无效投标、废标及投标人不足三家的处理</w:t>
      </w:r>
    </w:p>
    <w:p w14:paraId="54B12A93">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26.1无效投标条款</w:t>
      </w:r>
    </w:p>
    <w:p w14:paraId="00037693">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26.1.1 投标人未成功解密电子投标文件的。</w:t>
      </w:r>
    </w:p>
    <w:p w14:paraId="3A9F1B13">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26.1.2 投标人未按照采购文件要求上传电子投标文件的。</w:t>
      </w:r>
    </w:p>
    <w:p w14:paraId="6FE744ED">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26.1.3投标人在报价时采用选择性报价的。</w:t>
      </w:r>
    </w:p>
    <w:p w14:paraId="383308B5">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26.1.4投标人不具备采购文件中规定资格要求的。</w:t>
      </w:r>
    </w:p>
    <w:p w14:paraId="61F18279">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26.1.5投标人的报价超过了采购预算或最高限价的。</w:t>
      </w:r>
    </w:p>
    <w:p w14:paraId="79ACC59C">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26.1.6未通过符合性审查的。</w:t>
      </w:r>
    </w:p>
    <w:p w14:paraId="5B74CD06">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26.1.7不符合采购文件中规定的其他实质性要求和条件的（</w:t>
      </w:r>
      <w:r>
        <w:rPr>
          <w:rFonts w:hint="eastAsia" w:ascii="宋体" w:hAnsi="宋体"/>
          <w:b/>
          <w:bCs w:val="0"/>
          <w:i/>
          <w:iCs/>
          <w:color w:val="auto"/>
          <w:szCs w:val="21"/>
          <w:highlight w:val="none"/>
          <w:u w:val="single"/>
        </w:rPr>
        <w:t>本采购文件中斜体且有下划线部分为实质性要求和条件</w:t>
      </w:r>
      <w:r>
        <w:rPr>
          <w:rFonts w:hint="eastAsia" w:ascii="宋体" w:hAnsi="宋体"/>
          <w:bCs/>
          <w:color w:val="auto"/>
          <w:szCs w:val="21"/>
          <w:highlight w:val="none"/>
        </w:rPr>
        <w:t>）。</w:t>
      </w:r>
    </w:p>
    <w:p w14:paraId="29211757">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p>
    <w:p w14:paraId="1021D2BF">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26.1.9  投标文件含有采购人不能接受的附加条件的。</w:t>
      </w:r>
    </w:p>
    <w:p w14:paraId="1A317843">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7CB3C0C0">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26.1.11 投标文件未按照采购文件要求加盖电子签章。</w:t>
      </w:r>
    </w:p>
    <w:p w14:paraId="1BC35B48">
      <w:pPr>
        <w:spacing w:line="360" w:lineRule="auto"/>
        <w:ind w:firstLine="420"/>
        <w:rPr>
          <w:rFonts w:ascii="宋体" w:hAnsi="宋体"/>
          <w:bCs/>
          <w:color w:val="auto"/>
          <w:szCs w:val="21"/>
          <w:highlight w:val="none"/>
        </w:rPr>
      </w:pPr>
      <w:r>
        <w:rPr>
          <w:rFonts w:hint="eastAsia" w:ascii="宋体" w:hAnsi="宋体"/>
          <w:bCs/>
          <w:color w:val="auto"/>
          <w:szCs w:val="21"/>
          <w:highlight w:val="none"/>
        </w:rPr>
        <w:t>26.1.12 其他法律、法规及本采购文件规定的属无效投标的情形。</w:t>
      </w:r>
    </w:p>
    <w:p w14:paraId="3BD69584">
      <w:pPr>
        <w:spacing w:line="360" w:lineRule="auto"/>
        <w:ind w:firstLine="420"/>
        <w:rPr>
          <w:rFonts w:ascii="宋体" w:hAnsi="宋体"/>
          <w:bCs/>
          <w:color w:val="auto"/>
          <w:szCs w:val="21"/>
          <w:highlight w:val="none"/>
        </w:rPr>
      </w:pPr>
      <w:r>
        <w:rPr>
          <w:rFonts w:hint="eastAsia" w:ascii="宋体" w:hAnsi="宋体"/>
          <w:bCs/>
          <w:color w:val="auto"/>
          <w:szCs w:val="21"/>
          <w:highlight w:val="none"/>
        </w:rPr>
        <w:t>26.2废标条款：</w:t>
      </w:r>
    </w:p>
    <w:p w14:paraId="5BA84622">
      <w:pPr>
        <w:spacing w:line="360" w:lineRule="auto"/>
        <w:ind w:firstLine="420"/>
        <w:rPr>
          <w:rFonts w:ascii="宋体" w:hAnsi="宋体"/>
          <w:bCs/>
          <w:color w:val="auto"/>
          <w:szCs w:val="21"/>
          <w:highlight w:val="none"/>
        </w:rPr>
      </w:pPr>
      <w:r>
        <w:rPr>
          <w:rFonts w:hint="eastAsia" w:ascii="宋体" w:hAnsi="宋体"/>
          <w:bCs/>
          <w:color w:val="auto"/>
          <w:szCs w:val="21"/>
          <w:highlight w:val="none"/>
        </w:rPr>
        <w:t>26.2.1符合专业条件的投标人或者对采购文件作实质响应的投标人不足三家的。26.2.2出现影响采购公正的违法、违规行为的。</w:t>
      </w:r>
    </w:p>
    <w:p w14:paraId="713FD678">
      <w:pPr>
        <w:spacing w:line="360" w:lineRule="auto"/>
        <w:ind w:firstLine="420"/>
        <w:rPr>
          <w:rFonts w:ascii="宋体" w:hAnsi="宋体"/>
          <w:bCs/>
          <w:color w:val="auto"/>
          <w:szCs w:val="21"/>
          <w:highlight w:val="none"/>
        </w:rPr>
      </w:pPr>
      <w:r>
        <w:rPr>
          <w:rFonts w:hint="eastAsia" w:ascii="宋体" w:hAnsi="宋体"/>
          <w:bCs/>
          <w:color w:val="auto"/>
          <w:szCs w:val="21"/>
          <w:highlight w:val="none"/>
        </w:rPr>
        <w:t>26.2.3因重大变故，采购任务取消的。</w:t>
      </w:r>
    </w:p>
    <w:p w14:paraId="210A5E58">
      <w:pPr>
        <w:spacing w:line="360" w:lineRule="auto"/>
        <w:ind w:firstLine="420"/>
        <w:rPr>
          <w:rFonts w:ascii="宋体" w:hAnsi="宋体"/>
          <w:bCs/>
          <w:color w:val="auto"/>
          <w:szCs w:val="21"/>
          <w:highlight w:val="none"/>
        </w:rPr>
      </w:pPr>
      <w:r>
        <w:rPr>
          <w:rFonts w:hint="eastAsia" w:ascii="宋体" w:hAnsi="宋体"/>
          <w:bCs/>
          <w:color w:val="auto"/>
          <w:szCs w:val="21"/>
          <w:highlight w:val="none"/>
        </w:rPr>
        <w:t>26.2.4评委会认定采购文件存在歧义、重大缺陷导致评审工作无法进行。</w:t>
      </w:r>
    </w:p>
    <w:p w14:paraId="5019DCAA">
      <w:pPr>
        <w:spacing w:line="360" w:lineRule="auto"/>
        <w:ind w:firstLine="420"/>
        <w:rPr>
          <w:rFonts w:ascii="宋体" w:hAnsi="宋体"/>
          <w:bCs/>
          <w:color w:val="auto"/>
          <w:szCs w:val="21"/>
          <w:highlight w:val="none"/>
        </w:rPr>
      </w:pPr>
      <w:r>
        <w:rPr>
          <w:rFonts w:hint="eastAsia" w:ascii="宋体" w:hAnsi="宋体"/>
          <w:bCs/>
          <w:color w:val="auto"/>
          <w:szCs w:val="21"/>
          <w:highlight w:val="none"/>
        </w:rPr>
        <w:t>26.3 投标截止时间结束后参加投标的投标人不足三家的处理：</w:t>
      </w:r>
    </w:p>
    <w:p w14:paraId="458E19B3">
      <w:pPr>
        <w:spacing w:line="360" w:lineRule="auto"/>
        <w:ind w:firstLine="420"/>
        <w:rPr>
          <w:rFonts w:ascii="宋体" w:hAnsi="宋体"/>
          <w:bCs/>
          <w:color w:val="auto"/>
          <w:szCs w:val="21"/>
          <w:highlight w:val="none"/>
        </w:rPr>
      </w:pPr>
      <w:r>
        <w:rPr>
          <w:rFonts w:hint="eastAsia" w:ascii="宋体" w:hAnsi="宋体"/>
          <w:bCs/>
          <w:color w:val="auto"/>
          <w:szCs w:val="21"/>
          <w:highlight w:val="none"/>
        </w:rPr>
        <w:t>26.3.1如出现投标截止时间结束后参加投标的投标人或者在评标期间对采购文件做出实质性响应的投标人不足三家情况，按政府采购相关规定执行。</w:t>
      </w:r>
    </w:p>
    <w:p w14:paraId="3231CE3C">
      <w:pPr>
        <w:spacing w:line="360" w:lineRule="auto"/>
        <w:ind w:firstLine="422"/>
        <w:rPr>
          <w:rFonts w:ascii="宋体" w:hAnsi="宋体"/>
          <w:b/>
          <w:color w:val="auto"/>
          <w:szCs w:val="21"/>
          <w:highlight w:val="none"/>
        </w:rPr>
      </w:pPr>
      <w:r>
        <w:rPr>
          <w:rFonts w:hint="eastAsia" w:ascii="宋体" w:hAnsi="宋体"/>
          <w:b/>
          <w:color w:val="auto"/>
          <w:szCs w:val="21"/>
          <w:highlight w:val="none"/>
        </w:rPr>
        <w:t>27、确定中标单位</w:t>
      </w:r>
    </w:p>
    <w:p w14:paraId="6D2C2719">
      <w:pPr>
        <w:spacing w:line="360" w:lineRule="auto"/>
        <w:ind w:firstLine="420"/>
        <w:rPr>
          <w:rFonts w:ascii="宋体" w:hAnsi="宋体"/>
          <w:bCs/>
          <w:color w:val="auto"/>
          <w:szCs w:val="21"/>
          <w:highlight w:val="none"/>
        </w:rPr>
      </w:pPr>
      <w:r>
        <w:rPr>
          <w:rFonts w:hint="eastAsia" w:ascii="宋体" w:hAnsi="宋体"/>
          <w:bCs/>
          <w:color w:val="auto"/>
          <w:szCs w:val="21"/>
          <w:highlight w:val="none"/>
        </w:rPr>
        <w:t>27.1评委会根据本采购文件规定评标方法与评标标准向采购人推荐出中标候选人。</w:t>
      </w:r>
    </w:p>
    <w:p w14:paraId="4C7DCB3C">
      <w:pPr>
        <w:spacing w:line="360" w:lineRule="auto"/>
        <w:ind w:firstLine="420"/>
        <w:rPr>
          <w:rFonts w:ascii="宋体" w:hAnsi="宋体"/>
          <w:bCs/>
          <w:color w:val="auto"/>
          <w:szCs w:val="21"/>
          <w:highlight w:val="none"/>
        </w:rPr>
      </w:pPr>
      <w:r>
        <w:rPr>
          <w:rFonts w:hint="eastAsia" w:ascii="宋体" w:hAnsi="宋体"/>
          <w:bCs/>
          <w:color w:val="auto"/>
          <w:szCs w:val="21"/>
          <w:highlight w:val="none"/>
        </w:rPr>
        <w:t>27.2 采购人应根据评委会推荐的中标候选人确定中标人。</w:t>
      </w:r>
    </w:p>
    <w:p w14:paraId="4B6D9BF0">
      <w:pPr>
        <w:spacing w:line="360" w:lineRule="auto"/>
        <w:ind w:firstLine="420"/>
        <w:rPr>
          <w:rFonts w:ascii="宋体" w:hAnsi="宋体"/>
          <w:bCs/>
          <w:color w:val="auto"/>
          <w:szCs w:val="21"/>
          <w:highlight w:val="none"/>
        </w:rPr>
      </w:pPr>
      <w:r>
        <w:rPr>
          <w:rFonts w:hint="eastAsia" w:ascii="宋体" w:hAnsi="宋体"/>
          <w:bCs/>
          <w:color w:val="auto"/>
          <w:szCs w:val="21"/>
          <w:highlight w:val="none"/>
        </w:rPr>
        <w:t>27.3代理机构将在“扬州市政府采购网”、“江苏省政府采购网”发布中标公告，公告期限为1个工作日。</w:t>
      </w:r>
    </w:p>
    <w:p w14:paraId="2E133002">
      <w:pPr>
        <w:spacing w:line="360" w:lineRule="auto"/>
        <w:ind w:firstLine="420"/>
        <w:rPr>
          <w:rFonts w:ascii="宋体" w:hAnsi="宋体"/>
          <w:bCs/>
          <w:color w:val="auto"/>
          <w:szCs w:val="21"/>
          <w:highlight w:val="none"/>
        </w:rPr>
      </w:pPr>
      <w:r>
        <w:rPr>
          <w:rFonts w:hint="eastAsia" w:ascii="宋体" w:hAnsi="宋体"/>
          <w:bCs/>
          <w:color w:val="auto"/>
          <w:szCs w:val="21"/>
          <w:highlight w:val="none"/>
        </w:rPr>
        <w:t>27.4若有充分证据证明，中标人出现下列情况之一的，一经查实，将被取消中标资格：</w:t>
      </w:r>
    </w:p>
    <w:p w14:paraId="4081E129">
      <w:pPr>
        <w:spacing w:line="360" w:lineRule="auto"/>
        <w:ind w:firstLine="420"/>
        <w:rPr>
          <w:rFonts w:ascii="宋体" w:hAnsi="宋体"/>
          <w:bCs/>
          <w:color w:val="auto"/>
          <w:szCs w:val="21"/>
          <w:highlight w:val="none"/>
        </w:rPr>
      </w:pPr>
      <w:r>
        <w:rPr>
          <w:rFonts w:hint="eastAsia" w:ascii="宋体" w:hAnsi="宋体"/>
          <w:bCs/>
          <w:color w:val="auto"/>
          <w:szCs w:val="21"/>
          <w:highlight w:val="none"/>
        </w:rPr>
        <w:t>27.4.1提供虚假材料谋取中标的；</w:t>
      </w:r>
    </w:p>
    <w:p w14:paraId="77187859">
      <w:pPr>
        <w:spacing w:line="360" w:lineRule="auto"/>
        <w:ind w:firstLine="420"/>
        <w:rPr>
          <w:rFonts w:ascii="宋体" w:hAnsi="宋体"/>
          <w:bCs/>
          <w:color w:val="auto"/>
          <w:szCs w:val="21"/>
          <w:highlight w:val="none"/>
        </w:rPr>
      </w:pPr>
      <w:r>
        <w:rPr>
          <w:rFonts w:hint="eastAsia" w:ascii="宋体" w:hAnsi="宋体"/>
          <w:bCs/>
          <w:color w:val="auto"/>
          <w:szCs w:val="21"/>
          <w:highlight w:val="none"/>
        </w:rPr>
        <w:t>27.4.2向采购人、代理机构行贿或者提供其他不正当利益的；</w:t>
      </w:r>
    </w:p>
    <w:p w14:paraId="0346A0D7">
      <w:pPr>
        <w:spacing w:line="360" w:lineRule="auto"/>
        <w:ind w:firstLine="420"/>
        <w:rPr>
          <w:rFonts w:ascii="宋体" w:hAnsi="宋体"/>
          <w:bCs/>
          <w:color w:val="auto"/>
          <w:szCs w:val="21"/>
          <w:highlight w:val="none"/>
        </w:rPr>
      </w:pPr>
      <w:r>
        <w:rPr>
          <w:rFonts w:hint="eastAsia" w:ascii="宋体" w:hAnsi="宋体"/>
          <w:bCs/>
          <w:color w:val="auto"/>
          <w:szCs w:val="21"/>
          <w:highlight w:val="none"/>
        </w:rPr>
        <w:t>27.4.3恶意竞争，投标总报价明显低于其自身合理成本且又无法提供证明的；</w:t>
      </w:r>
    </w:p>
    <w:p w14:paraId="75803F45">
      <w:pPr>
        <w:spacing w:line="360" w:lineRule="auto"/>
        <w:ind w:firstLine="420"/>
        <w:rPr>
          <w:rFonts w:ascii="宋体" w:hAnsi="宋体"/>
          <w:bCs/>
          <w:color w:val="auto"/>
          <w:szCs w:val="21"/>
          <w:highlight w:val="none"/>
        </w:rPr>
      </w:pPr>
      <w:r>
        <w:rPr>
          <w:rFonts w:hint="eastAsia" w:ascii="宋体" w:hAnsi="宋体"/>
          <w:bCs/>
          <w:color w:val="auto"/>
          <w:szCs w:val="21"/>
          <w:highlight w:val="none"/>
        </w:rPr>
        <w:t>27.4.4属于本文件规定的无效条件，但在评标过程中又未被评委会发现的；</w:t>
      </w:r>
    </w:p>
    <w:p w14:paraId="4E84B52A">
      <w:pPr>
        <w:spacing w:line="360" w:lineRule="auto"/>
        <w:ind w:firstLine="420"/>
        <w:rPr>
          <w:rFonts w:ascii="宋体" w:hAnsi="宋体"/>
          <w:bCs/>
          <w:color w:val="auto"/>
          <w:szCs w:val="21"/>
          <w:highlight w:val="none"/>
        </w:rPr>
      </w:pPr>
      <w:r>
        <w:rPr>
          <w:rFonts w:hint="eastAsia" w:ascii="宋体" w:hAnsi="宋体"/>
          <w:bCs/>
          <w:color w:val="auto"/>
          <w:szCs w:val="21"/>
          <w:highlight w:val="none"/>
        </w:rPr>
        <w:t>27.4.5与采购人或者其他投标人恶意串通的；</w:t>
      </w:r>
    </w:p>
    <w:p w14:paraId="21D8B318">
      <w:pPr>
        <w:spacing w:line="360" w:lineRule="auto"/>
        <w:ind w:firstLine="420"/>
        <w:rPr>
          <w:rFonts w:ascii="宋体" w:hAnsi="宋体"/>
          <w:bCs/>
          <w:color w:val="auto"/>
          <w:szCs w:val="21"/>
          <w:highlight w:val="none"/>
        </w:rPr>
      </w:pPr>
      <w:r>
        <w:rPr>
          <w:rFonts w:hint="eastAsia" w:ascii="宋体" w:hAnsi="宋体"/>
          <w:bCs/>
          <w:color w:val="auto"/>
          <w:szCs w:val="21"/>
          <w:highlight w:val="none"/>
        </w:rPr>
        <w:t>27.4.6采取不正当手段诋毁、排挤其他投标人的；</w:t>
      </w:r>
    </w:p>
    <w:p w14:paraId="2BD4EC43">
      <w:pPr>
        <w:spacing w:line="360" w:lineRule="auto"/>
        <w:ind w:firstLine="420"/>
        <w:rPr>
          <w:rFonts w:ascii="宋体" w:hAnsi="宋体"/>
          <w:bCs/>
          <w:color w:val="auto"/>
          <w:szCs w:val="21"/>
          <w:highlight w:val="none"/>
        </w:rPr>
      </w:pPr>
      <w:r>
        <w:rPr>
          <w:rFonts w:hint="eastAsia" w:ascii="宋体" w:hAnsi="宋体"/>
          <w:bCs/>
          <w:color w:val="auto"/>
          <w:szCs w:val="21"/>
          <w:highlight w:val="none"/>
        </w:rPr>
        <w:t>27.4.7不符合法律、法规的规定的。</w:t>
      </w:r>
    </w:p>
    <w:p w14:paraId="7B44BBC9">
      <w:pPr>
        <w:spacing w:line="360" w:lineRule="auto"/>
        <w:ind w:firstLine="420"/>
        <w:rPr>
          <w:rFonts w:ascii="宋体" w:hAnsi="宋体"/>
          <w:bCs/>
          <w:color w:val="auto"/>
          <w:szCs w:val="21"/>
          <w:highlight w:val="none"/>
        </w:rPr>
      </w:pPr>
      <w:r>
        <w:rPr>
          <w:rFonts w:hint="eastAsia" w:ascii="宋体" w:hAnsi="宋体"/>
          <w:bCs/>
          <w:color w:val="auto"/>
          <w:szCs w:val="21"/>
          <w:highlight w:val="none"/>
        </w:rPr>
        <w:t>27.5. 有下列情形之一的，视为投标人串通投标，投标无效：</w:t>
      </w:r>
    </w:p>
    <w:p w14:paraId="2C743370">
      <w:pPr>
        <w:spacing w:line="360" w:lineRule="auto"/>
        <w:ind w:firstLine="420"/>
        <w:rPr>
          <w:rFonts w:ascii="宋体" w:hAnsi="宋体"/>
          <w:bCs/>
          <w:color w:val="auto"/>
          <w:szCs w:val="21"/>
          <w:highlight w:val="none"/>
        </w:rPr>
      </w:pPr>
      <w:r>
        <w:rPr>
          <w:rFonts w:hint="eastAsia" w:ascii="宋体" w:hAnsi="宋体"/>
          <w:bCs/>
          <w:color w:val="auto"/>
          <w:szCs w:val="21"/>
          <w:highlight w:val="none"/>
        </w:rPr>
        <w:t>27.5.1不同投标人的投标文件由同一单位或者个人编制。</w:t>
      </w:r>
    </w:p>
    <w:p w14:paraId="05807D83">
      <w:pPr>
        <w:spacing w:line="360" w:lineRule="auto"/>
        <w:ind w:firstLine="420"/>
        <w:rPr>
          <w:rFonts w:ascii="宋体" w:hAnsi="宋体"/>
          <w:bCs/>
          <w:color w:val="auto"/>
          <w:szCs w:val="21"/>
          <w:highlight w:val="none"/>
        </w:rPr>
      </w:pPr>
      <w:r>
        <w:rPr>
          <w:rFonts w:hint="eastAsia" w:ascii="宋体" w:hAnsi="宋体"/>
          <w:bCs/>
          <w:color w:val="auto"/>
          <w:szCs w:val="21"/>
          <w:highlight w:val="none"/>
        </w:rPr>
        <w:t>27.5.2不同投标人委托同一单位或者个人办理投标事宜。</w:t>
      </w:r>
    </w:p>
    <w:p w14:paraId="34D4E670">
      <w:pPr>
        <w:spacing w:line="360" w:lineRule="auto"/>
        <w:ind w:firstLine="420"/>
        <w:rPr>
          <w:rFonts w:ascii="宋体" w:hAnsi="宋体"/>
          <w:bCs/>
          <w:color w:val="auto"/>
          <w:szCs w:val="21"/>
          <w:highlight w:val="none"/>
        </w:rPr>
      </w:pPr>
      <w:r>
        <w:rPr>
          <w:rFonts w:hint="eastAsia" w:ascii="宋体" w:hAnsi="宋体"/>
          <w:bCs/>
          <w:color w:val="auto"/>
          <w:szCs w:val="21"/>
          <w:highlight w:val="none"/>
        </w:rPr>
        <w:t>27.5.3 不同投标人的投标文件载明的项目管理成员或者联系人员为同一人。</w:t>
      </w:r>
    </w:p>
    <w:p w14:paraId="6DEB7A55">
      <w:pPr>
        <w:spacing w:line="360" w:lineRule="auto"/>
        <w:ind w:firstLine="420"/>
        <w:rPr>
          <w:rFonts w:ascii="宋体" w:hAnsi="宋体"/>
          <w:bCs/>
          <w:color w:val="auto"/>
          <w:szCs w:val="21"/>
          <w:highlight w:val="none"/>
        </w:rPr>
      </w:pPr>
      <w:r>
        <w:rPr>
          <w:rFonts w:hint="eastAsia" w:ascii="宋体" w:hAnsi="宋体"/>
          <w:bCs/>
          <w:color w:val="auto"/>
          <w:szCs w:val="21"/>
          <w:highlight w:val="none"/>
        </w:rPr>
        <w:t>27.5.4不同投标人的投标文件异常一致或者投标报价呈规律性差异。</w:t>
      </w:r>
    </w:p>
    <w:p w14:paraId="13C4E46A">
      <w:pPr>
        <w:spacing w:line="360" w:lineRule="auto"/>
        <w:ind w:firstLine="420"/>
        <w:rPr>
          <w:rFonts w:ascii="宋体" w:hAnsi="宋体"/>
          <w:bCs/>
          <w:color w:val="auto"/>
          <w:szCs w:val="21"/>
          <w:highlight w:val="none"/>
        </w:rPr>
      </w:pPr>
      <w:r>
        <w:rPr>
          <w:rFonts w:hint="eastAsia" w:ascii="宋体" w:hAnsi="宋体"/>
          <w:bCs/>
          <w:color w:val="auto"/>
          <w:szCs w:val="21"/>
          <w:highlight w:val="none"/>
        </w:rPr>
        <w:t>27.5.5不同投标人的投标文件相互混装。</w:t>
      </w:r>
    </w:p>
    <w:p w14:paraId="31B07709">
      <w:pPr>
        <w:spacing w:line="360" w:lineRule="auto"/>
        <w:ind w:firstLine="422"/>
        <w:rPr>
          <w:rFonts w:ascii="宋体" w:hAnsi="宋体"/>
          <w:b/>
          <w:color w:val="auto"/>
          <w:szCs w:val="21"/>
          <w:highlight w:val="none"/>
        </w:rPr>
      </w:pPr>
      <w:r>
        <w:rPr>
          <w:rFonts w:hint="eastAsia" w:ascii="宋体" w:hAnsi="宋体"/>
          <w:b/>
          <w:color w:val="auto"/>
          <w:szCs w:val="21"/>
          <w:highlight w:val="none"/>
        </w:rPr>
        <w:t>28、质疑处理</w:t>
      </w:r>
    </w:p>
    <w:p w14:paraId="79CA0069">
      <w:pPr>
        <w:spacing w:line="360" w:lineRule="auto"/>
        <w:ind w:firstLine="420"/>
        <w:rPr>
          <w:rFonts w:ascii="宋体" w:hAnsi="宋体"/>
          <w:bCs/>
          <w:color w:val="auto"/>
          <w:szCs w:val="21"/>
          <w:highlight w:val="none"/>
        </w:rPr>
      </w:pPr>
      <w:r>
        <w:rPr>
          <w:rFonts w:hint="eastAsia" w:ascii="宋体" w:hAnsi="宋体"/>
          <w:bCs/>
          <w:color w:val="auto"/>
          <w:szCs w:val="21"/>
          <w:highlight w:val="none"/>
        </w:rPr>
        <w:t>28.1提出质疑的投标人应当是参与所质疑项目采购活动的投标人。潜在投标人依法获取其可质疑的采购文件的，可以对采购文件提出质疑。</w:t>
      </w:r>
    </w:p>
    <w:p w14:paraId="32499A6F">
      <w:pPr>
        <w:spacing w:line="360" w:lineRule="auto"/>
        <w:ind w:firstLine="420"/>
        <w:rPr>
          <w:rFonts w:ascii="宋体" w:hAnsi="宋体"/>
          <w:bCs/>
          <w:color w:val="auto"/>
          <w:szCs w:val="21"/>
          <w:highlight w:val="none"/>
        </w:rPr>
      </w:pPr>
      <w:r>
        <w:rPr>
          <w:rFonts w:hint="eastAsia" w:ascii="宋体" w:hAnsi="宋体"/>
          <w:bCs/>
          <w:color w:val="auto"/>
          <w:szCs w:val="21"/>
          <w:highlight w:val="none"/>
        </w:rPr>
        <w:t>对项目需求部分的质疑，潜在投标人应向采购人提出，由采购人负责答复。</w:t>
      </w:r>
    </w:p>
    <w:p w14:paraId="60E18DEC">
      <w:pPr>
        <w:spacing w:line="360" w:lineRule="auto"/>
        <w:ind w:firstLine="420"/>
        <w:rPr>
          <w:rFonts w:ascii="宋体" w:hAnsi="宋体"/>
          <w:bCs/>
          <w:color w:val="auto"/>
          <w:szCs w:val="21"/>
          <w:highlight w:val="none"/>
        </w:rPr>
      </w:pPr>
      <w:r>
        <w:rPr>
          <w:rFonts w:hint="eastAsia" w:ascii="宋体" w:hAnsi="宋体"/>
          <w:bCs/>
          <w:color w:val="auto"/>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63B9D8E7">
      <w:pPr>
        <w:spacing w:line="360" w:lineRule="auto"/>
        <w:ind w:firstLine="420"/>
        <w:jc w:val="left"/>
        <w:rPr>
          <w:rFonts w:ascii="宋体" w:hAnsi="宋体"/>
          <w:bCs/>
          <w:color w:val="auto"/>
          <w:szCs w:val="21"/>
          <w:highlight w:val="none"/>
        </w:rPr>
      </w:pPr>
      <w:r>
        <w:rPr>
          <w:rFonts w:hint="eastAsia" w:ascii="宋体" w:hAnsi="宋体"/>
          <w:bCs/>
          <w:color w:val="auto"/>
          <w:szCs w:val="21"/>
          <w:highlight w:val="none"/>
        </w:rPr>
        <w:t>28.2.1对采购文件提出质疑的，应当在获取采购文件之日或者采购文件公告期限届满之日起7个工作日内提出。</w:t>
      </w:r>
      <w:r>
        <w:rPr>
          <w:rFonts w:hint="eastAsia" w:ascii="宋体" w:hAnsi="宋体"/>
          <w:bCs/>
          <w:color w:val="auto"/>
          <w:szCs w:val="21"/>
          <w:highlight w:val="none"/>
        </w:rPr>
        <w:br w:type="textWrapping" w:clear="all"/>
      </w:r>
      <w:r>
        <w:rPr>
          <w:rFonts w:hint="eastAsia" w:ascii="宋体" w:hAnsi="宋体"/>
          <w:bCs/>
          <w:color w:val="auto"/>
          <w:szCs w:val="21"/>
          <w:highlight w:val="none"/>
        </w:rPr>
        <w:t xml:space="preserve">    28.2.2对采购过程提出质疑的，为各采购程序环节结束之日起7个工作日内提出。</w:t>
      </w:r>
      <w:r>
        <w:rPr>
          <w:rFonts w:hint="eastAsia" w:ascii="宋体" w:hAnsi="宋体"/>
          <w:bCs/>
          <w:color w:val="auto"/>
          <w:szCs w:val="21"/>
          <w:highlight w:val="none"/>
        </w:rPr>
        <w:br w:type="textWrapping" w:clear="all"/>
      </w:r>
      <w:r>
        <w:rPr>
          <w:rFonts w:hint="eastAsia" w:ascii="宋体" w:hAnsi="宋体"/>
          <w:bCs/>
          <w:color w:val="auto"/>
          <w:szCs w:val="21"/>
          <w:highlight w:val="none"/>
        </w:rPr>
        <w:t xml:space="preserve">    28.2.3对中标结果提出质疑的，为中标结果公告期限届满之日起7个工作日内提出。</w:t>
      </w:r>
    </w:p>
    <w:p w14:paraId="33532014">
      <w:pPr>
        <w:spacing w:line="360" w:lineRule="auto"/>
        <w:ind w:firstLine="420"/>
        <w:rPr>
          <w:rFonts w:ascii="宋体" w:hAnsi="宋体"/>
          <w:bCs/>
          <w:color w:val="auto"/>
          <w:szCs w:val="21"/>
          <w:highlight w:val="none"/>
        </w:rPr>
      </w:pPr>
      <w:r>
        <w:rPr>
          <w:rFonts w:hint="eastAsia" w:ascii="宋体" w:hAnsi="宋体"/>
          <w:bCs/>
          <w:color w:val="auto"/>
          <w:szCs w:val="21"/>
          <w:highlight w:val="none"/>
        </w:rPr>
        <w:t>28.3投标人应在法定质疑期内一次性提出针对同一采购程序环节的质疑。投标人如在法定期限内对同一采购程序环节提出多次质疑的，代理机构、采购人将只对投标人第一次质疑作出答复。</w:t>
      </w:r>
    </w:p>
    <w:p w14:paraId="6ED3FB0D">
      <w:pPr>
        <w:spacing w:line="360" w:lineRule="auto"/>
        <w:ind w:firstLine="420"/>
        <w:rPr>
          <w:rFonts w:ascii="宋体" w:hAnsi="宋体"/>
          <w:bCs/>
          <w:color w:val="auto"/>
          <w:szCs w:val="21"/>
          <w:highlight w:val="none"/>
        </w:rPr>
      </w:pPr>
      <w:r>
        <w:rPr>
          <w:rFonts w:hint="eastAsia" w:ascii="宋体" w:hAnsi="宋体"/>
          <w:bCs/>
          <w:color w:val="auto"/>
          <w:szCs w:val="21"/>
          <w:highlight w:val="none"/>
        </w:rPr>
        <w:t>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p>
    <w:p w14:paraId="3479664B">
      <w:pPr>
        <w:spacing w:line="360" w:lineRule="auto"/>
        <w:ind w:firstLine="420"/>
        <w:rPr>
          <w:rFonts w:ascii="宋体" w:hAnsi="宋体"/>
          <w:bCs/>
          <w:color w:val="auto"/>
          <w:szCs w:val="21"/>
          <w:highlight w:val="none"/>
        </w:rPr>
      </w:pPr>
      <w:r>
        <w:rPr>
          <w:rFonts w:hint="eastAsia" w:ascii="宋体" w:hAnsi="宋体"/>
          <w:bCs/>
          <w:color w:val="auto"/>
          <w:szCs w:val="21"/>
          <w:highlight w:val="none"/>
        </w:rPr>
        <w:t>28.5 代理机构及采购人只接收以纸质原件形式送达的质疑。</w:t>
      </w:r>
    </w:p>
    <w:p w14:paraId="58064913">
      <w:pPr>
        <w:spacing w:line="360" w:lineRule="auto"/>
        <w:ind w:firstLine="420"/>
        <w:rPr>
          <w:rFonts w:ascii="宋体" w:hAnsi="宋体"/>
          <w:bCs/>
          <w:color w:val="auto"/>
          <w:szCs w:val="21"/>
          <w:highlight w:val="none"/>
        </w:rPr>
      </w:pPr>
      <w:r>
        <w:rPr>
          <w:rFonts w:hint="eastAsia" w:ascii="宋体" w:hAnsi="宋体"/>
          <w:bCs/>
          <w:color w:val="auto"/>
          <w:szCs w:val="21"/>
          <w:highlight w:val="none"/>
        </w:rPr>
        <w:t>采购人质疑接收人及联系方式见采购文件第一章。</w:t>
      </w:r>
    </w:p>
    <w:p w14:paraId="163224C0">
      <w:pPr>
        <w:spacing w:line="360" w:lineRule="auto"/>
        <w:ind w:firstLine="420"/>
        <w:rPr>
          <w:rFonts w:ascii="宋体" w:hAnsi="宋体"/>
          <w:bCs/>
          <w:color w:val="auto"/>
          <w:szCs w:val="21"/>
          <w:highlight w:val="none"/>
        </w:rPr>
      </w:pPr>
      <w:r>
        <w:rPr>
          <w:rFonts w:hint="eastAsia" w:ascii="宋体" w:hAnsi="宋体"/>
          <w:bCs/>
          <w:color w:val="auto"/>
          <w:szCs w:val="21"/>
          <w:highlight w:val="none"/>
        </w:rPr>
        <w:t>28.6代理机构收到质疑申请后，将对质疑的形式和内容进行审查，如质疑内容、格式不符合规定，代理机构将告知质疑人进行补正。</w:t>
      </w:r>
    </w:p>
    <w:p w14:paraId="3224B000">
      <w:pPr>
        <w:spacing w:line="360" w:lineRule="auto"/>
        <w:ind w:firstLine="420"/>
        <w:rPr>
          <w:rFonts w:ascii="宋体" w:hAnsi="宋体"/>
          <w:bCs/>
          <w:color w:val="auto"/>
          <w:szCs w:val="21"/>
          <w:highlight w:val="none"/>
        </w:rPr>
      </w:pPr>
      <w:r>
        <w:rPr>
          <w:rFonts w:hint="eastAsia" w:ascii="宋体" w:hAnsi="宋体"/>
          <w:bCs/>
          <w:color w:val="auto"/>
          <w:szCs w:val="21"/>
          <w:highlight w:val="none"/>
        </w:rPr>
        <w:t>28.7质疑人应当在法定质疑期限内进行补正并重新提交质疑函。</w:t>
      </w:r>
    </w:p>
    <w:p w14:paraId="395108AE">
      <w:pPr>
        <w:spacing w:line="360" w:lineRule="auto"/>
        <w:ind w:firstLine="420"/>
        <w:rPr>
          <w:rFonts w:ascii="宋体" w:hAnsi="宋体"/>
          <w:bCs/>
          <w:color w:val="auto"/>
          <w:szCs w:val="21"/>
          <w:highlight w:val="none"/>
        </w:rPr>
      </w:pPr>
      <w:r>
        <w:rPr>
          <w:rFonts w:hint="eastAsia" w:ascii="宋体" w:hAnsi="宋体"/>
          <w:bCs/>
          <w:color w:val="auto"/>
          <w:szCs w:val="21"/>
          <w:highlight w:val="none"/>
        </w:rPr>
        <w:t>28.8 以下情形的质疑不予受理</w:t>
      </w:r>
    </w:p>
    <w:p w14:paraId="0AD29499">
      <w:pPr>
        <w:spacing w:line="360" w:lineRule="auto"/>
        <w:ind w:firstLine="420"/>
        <w:rPr>
          <w:rFonts w:ascii="宋体" w:hAnsi="宋体"/>
          <w:bCs/>
          <w:color w:val="auto"/>
          <w:szCs w:val="21"/>
          <w:highlight w:val="none"/>
        </w:rPr>
      </w:pPr>
      <w:r>
        <w:rPr>
          <w:rFonts w:hint="eastAsia" w:ascii="宋体" w:hAnsi="宋体"/>
          <w:bCs/>
          <w:color w:val="auto"/>
          <w:szCs w:val="21"/>
          <w:highlight w:val="none"/>
        </w:rPr>
        <w:t>28.8.1 内容不符合《政府采购质疑和投诉办法》第十二条规定的质疑。</w:t>
      </w:r>
    </w:p>
    <w:p w14:paraId="767CEE19">
      <w:pPr>
        <w:spacing w:line="360" w:lineRule="auto"/>
        <w:ind w:firstLine="420"/>
        <w:rPr>
          <w:rFonts w:ascii="宋体" w:hAnsi="宋体"/>
          <w:bCs/>
          <w:color w:val="auto"/>
          <w:szCs w:val="21"/>
          <w:highlight w:val="none"/>
        </w:rPr>
      </w:pPr>
      <w:r>
        <w:rPr>
          <w:rFonts w:hint="eastAsia" w:ascii="宋体" w:hAnsi="宋体"/>
          <w:bCs/>
          <w:color w:val="auto"/>
          <w:szCs w:val="21"/>
          <w:highlight w:val="none"/>
        </w:rPr>
        <w:t>28.8.2 超出政府采购法定期限的质疑。</w:t>
      </w:r>
    </w:p>
    <w:p w14:paraId="4CC8853D">
      <w:pPr>
        <w:spacing w:line="360" w:lineRule="auto"/>
        <w:ind w:firstLine="420"/>
        <w:rPr>
          <w:rFonts w:ascii="宋体" w:hAnsi="宋体"/>
          <w:bCs/>
          <w:color w:val="auto"/>
          <w:szCs w:val="21"/>
          <w:highlight w:val="none"/>
        </w:rPr>
      </w:pPr>
      <w:r>
        <w:rPr>
          <w:rFonts w:hint="eastAsia" w:ascii="宋体" w:hAnsi="宋体"/>
          <w:bCs/>
          <w:color w:val="auto"/>
          <w:szCs w:val="21"/>
          <w:highlight w:val="none"/>
        </w:rPr>
        <w:t>28.8.3 以传真、电子邮件等方式递交的非原件形式的质疑。</w:t>
      </w:r>
    </w:p>
    <w:p w14:paraId="4997BF25">
      <w:pPr>
        <w:spacing w:line="360" w:lineRule="auto"/>
        <w:ind w:firstLine="420"/>
        <w:rPr>
          <w:rFonts w:ascii="宋体" w:hAnsi="宋体"/>
          <w:bCs/>
          <w:color w:val="auto"/>
          <w:szCs w:val="21"/>
          <w:highlight w:val="none"/>
        </w:rPr>
      </w:pPr>
      <w:r>
        <w:rPr>
          <w:rFonts w:hint="eastAsia" w:ascii="宋体" w:hAnsi="宋体"/>
          <w:bCs/>
          <w:color w:val="auto"/>
          <w:szCs w:val="21"/>
          <w:highlight w:val="none"/>
        </w:rPr>
        <w:t>28.8.4 未参加投标活动的投标人或在投标活动中自身权益未受到损害的投标人所提出的质疑。</w:t>
      </w:r>
    </w:p>
    <w:p w14:paraId="0D53C2B5">
      <w:pPr>
        <w:spacing w:line="360" w:lineRule="auto"/>
        <w:ind w:firstLine="420"/>
        <w:rPr>
          <w:rFonts w:ascii="宋体" w:hAnsi="宋体"/>
          <w:bCs/>
          <w:color w:val="auto"/>
          <w:szCs w:val="21"/>
          <w:highlight w:val="none"/>
        </w:rPr>
      </w:pPr>
      <w:r>
        <w:rPr>
          <w:rFonts w:hint="eastAsia" w:ascii="宋体" w:hAnsi="宋体"/>
          <w:bCs/>
          <w:color w:val="auto"/>
          <w:szCs w:val="21"/>
          <w:highlight w:val="none"/>
        </w:rPr>
        <w:t>28.8.5投标人组成联合体参加投标，联合体中任何一方或多方未按要求签字、盖章、加盖公章的质疑。</w:t>
      </w:r>
    </w:p>
    <w:p w14:paraId="2169595D">
      <w:pPr>
        <w:spacing w:line="360" w:lineRule="auto"/>
        <w:ind w:firstLine="420"/>
        <w:rPr>
          <w:rFonts w:ascii="宋体" w:hAnsi="宋体"/>
          <w:bCs/>
          <w:color w:val="auto"/>
          <w:szCs w:val="21"/>
          <w:highlight w:val="none"/>
        </w:rPr>
      </w:pPr>
      <w:r>
        <w:rPr>
          <w:rFonts w:hint="eastAsia" w:ascii="宋体" w:hAnsi="宋体"/>
          <w:bCs/>
          <w:color w:val="auto"/>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p>
    <w:p w14:paraId="79408F54">
      <w:pPr>
        <w:spacing w:line="360" w:lineRule="auto"/>
        <w:ind w:firstLine="420"/>
        <w:rPr>
          <w:rFonts w:ascii="宋体" w:hAnsi="宋体"/>
          <w:bCs/>
          <w:color w:val="auto"/>
          <w:szCs w:val="21"/>
          <w:highlight w:val="none"/>
        </w:rPr>
      </w:pPr>
      <w:r>
        <w:rPr>
          <w:rFonts w:hint="eastAsia" w:ascii="宋体" w:hAnsi="宋体"/>
          <w:bCs/>
          <w:color w:val="auto"/>
          <w:szCs w:val="21"/>
          <w:highlight w:val="none"/>
        </w:rPr>
        <w:t>28.10代理机构应当在收到投标人的书面质疑后7个工作日内作出答复，并以书面形式通知质疑投标人和其他有关投标人，但答复的内容不得涉及商业秘密。</w:t>
      </w:r>
    </w:p>
    <w:p w14:paraId="1CB864E4">
      <w:pPr>
        <w:spacing w:line="360" w:lineRule="auto"/>
        <w:ind w:firstLine="422"/>
        <w:rPr>
          <w:rFonts w:ascii="宋体" w:hAnsi="宋体"/>
          <w:b/>
          <w:color w:val="auto"/>
          <w:szCs w:val="21"/>
          <w:highlight w:val="none"/>
        </w:rPr>
      </w:pPr>
      <w:r>
        <w:rPr>
          <w:rFonts w:hint="eastAsia" w:ascii="宋体" w:hAnsi="宋体"/>
          <w:b/>
          <w:color w:val="auto"/>
          <w:szCs w:val="21"/>
          <w:highlight w:val="none"/>
        </w:rPr>
        <w:t>29、中标通知书</w:t>
      </w:r>
    </w:p>
    <w:p w14:paraId="35D1336F">
      <w:pPr>
        <w:spacing w:line="360" w:lineRule="auto"/>
        <w:ind w:firstLine="420"/>
        <w:rPr>
          <w:rFonts w:ascii="宋体" w:hAnsi="宋体"/>
          <w:bCs/>
          <w:color w:val="auto"/>
          <w:szCs w:val="21"/>
          <w:highlight w:val="none"/>
        </w:rPr>
      </w:pPr>
      <w:r>
        <w:rPr>
          <w:rFonts w:hint="eastAsia" w:ascii="宋体" w:hAnsi="宋体"/>
          <w:bCs/>
          <w:color w:val="auto"/>
          <w:szCs w:val="21"/>
          <w:highlight w:val="none"/>
        </w:rPr>
        <w:t>29.l 中标结果确定后，代理机构将向中标人发出中标通知书。</w:t>
      </w:r>
    </w:p>
    <w:p w14:paraId="44DD629F">
      <w:pPr>
        <w:spacing w:line="360" w:lineRule="auto"/>
        <w:ind w:firstLine="420"/>
        <w:rPr>
          <w:rFonts w:ascii="宋体" w:hAnsi="宋体"/>
          <w:bCs/>
          <w:color w:val="auto"/>
          <w:szCs w:val="21"/>
          <w:highlight w:val="none"/>
        </w:rPr>
      </w:pPr>
      <w:r>
        <w:rPr>
          <w:rFonts w:hint="eastAsia" w:ascii="宋体" w:hAnsi="宋体"/>
          <w:bCs/>
          <w:color w:val="auto"/>
          <w:szCs w:val="21"/>
          <w:highlight w:val="none"/>
        </w:rPr>
        <w:t>29.2 中标人可在“政府采购管理交易系统（苏采云）”中标通知书下载模块中自行下载中标通知书。</w:t>
      </w:r>
    </w:p>
    <w:p w14:paraId="29FCB87F">
      <w:pPr>
        <w:spacing w:line="360" w:lineRule="auto"/>
        <w:ind w:firstLine="420"/>
        <w:rPr>
          <w:rFonts w:ascii="宋体" w:hAnsi="宋体"/>
          <w:bCs/>
          <w:color w:val="auto"/>
          <w:szCs w:val="21"/>
          <w:highlight w:val="none"/>
        </w:rPr>
      </w:pPr>
      <w:r>
        <w:rPr>
          <w:rFonts w:hint="eastAsia" w:ascii="宋体" w:hAnsi="宋体"/>
          <w:bCs/>
          <w:color w:val="auto"/>
          <w:szCs w:val="21"/>
          <w:highlight w:val="none"/>
        </w:rPr>
        <w:t>29.3中标通知书将是合同的一个组成部分。对采购人和中标人均具有法律效力。中标通知书发出后，采购人改变中标结果的，或者中标人放弃中标项目的，应当依法承担法律责任。</w:t>
      </w:r>
    </w:p>
    <w:p w14:paraId="5DCD40AD">
      <w:pPr>
        <w:spacing w:line="360" w:lineRule="auto"/>
        <w:ind w:firstLine="422"/>
        <w:rPr>
          <w:rFonts w:ascii="宋体" w:hAnsi="宋体"/>
          <w:b/>
          <w:color w:val="auto"/>
          <w:szCs w:val="21"/>
          <w:highlight w:val="none"/>
        </w:rPr>
      </w:pPr>
      <w:r>
        <w:rPr>
          <w:rFonts w:hint="eastAsia" w:ascii="宋体" w:hAnsi="宋体"/>
          <w:b/>
          <w:color w:val="auto"/>
          <w:szCs w:val="21"/>
          <w:highlight w:val="none"/>
        </w:rPr>
        <w:t>30、 签订合同</w:t>
      </w:r>
    </w:p>
    <w:p w14:paraId="50ED0F63">
      <w:pPr>
        <w:spacing w:line="360" w:lineRule="auto"/>
        <w:ind w:firstLine="420"/>
        <w:rPr>
          <w:rFonts w:ascii="宋体" w:hAnsi="宋体"/>
          <w:bCs/>
          <w:color w:val="auto"/>
          <w:szCs w:val="21"/>
          <w:highlight w:val="none"/>
        </w:rPr>
      </w:pPr>
      <w:r>
        <w:rPr>
          <w:rFonts w:hint="eastAsia" w:ascii="宋体" w:hAnsi="宋体"/>
          <w:bCs/>
          <w:color w:val="auto"/>
          <w:szCs w:val="21"/>
          <w:highlight w:val="none"/>
        </w:rPr>
        <w:t>30.l中标人应在中标通知书发出之日起十五日内，按照采购文件确定的事项与采购人签订政府采购合同。</w:t>
      </w:r>
    </w:p>
    <w:p w14:paraId="4BB79D37">
      <w:pPr>
        <w:spacing w:line="360" w:lineRule="auto"/>
        <w:ind w:firstLine="420"/>
        <w:rPr>
          <w:rFonts w:ascii="宋体" w:hAnsi="宋体"/>
          <w:bCs/>
          <w:color w:val="auto"/>
          <w:szCs w:val="21"/>
          <w:highlight w:val="none"/>
        </w:rPr>
      </w:pPr>
      <w:r>
        <w:rPr>
          <w:rFonts w:hint="eastAsia" w:ascii="宋体" w:hAnsi="宋体"/>
          <w:bCs/>
          <w:color w:val="auto"/>
          <w:szCs w:val="21"/>
          <w:highlight w:val="none"/>
        </w:rPr>
        <w:t>30.2 采购文件、中标人的投标文件及招标过程中有关澄清、承诺文件均应作为合同附件。</w:t>
      </w:r>
    </w:p>
    <w:p w14:paraId="33D33363">
      <w:pPr>
        <w:spacing w:line="360" w:lineRule="auto"/>
        <w:ind w:firstLine="420"/>
        <w:rPr>
          <w:rFonts w:ascii="宋体" w:hAnsi="宋体"/>
          <w:bCs/>
          <w:color w:val="auto"/>
          <w:szCs w:val="21"/>
          <w:highlight w:val="none"/>
        </w:rPr>
      </w:pPr>
      <w:r>
        <w:rPr>
          <w:rFonts w:hint="eastAsia" w:ascii="宋体" w:hAnsi="宋体"/>
          <w:bCs/>
          <w:color w:val="auto"/>
          <w:szCs w:val="21"/>
          <w:highlight w:val="none"/>
        </w:rPr>
        <w:t>30.3 合同在“政府采购管理交易系统（苏采云）”中签订，签订合同后，</w:t>
      </w:r>
      <w:r>
        <w:rPr>
          <w:rFonts w:hint="eastAsia" w:ascii="宋体" w:hAnsi="宋体"/>
          <w:b/>
          <w:bCs w:val="0"/>
          <w:i/>
          <w:iCs/>
          <w:color w:val="auto"/>
          <w:szCs w:val="21"/>
          <w:highlight w:val="none"/>
          <w:u w:val="single"/>
        </w:rPr>
        <w:t>中标人不得将货物或服务及其他服务进行转包</w:t>
      </w:r>
      <w:r>
        <w:rPr>
          <w:rFonts w:hint="eastAsia" w:ascii="宋体" w:hAnsi="宋体"/>
          <w:bCs/>
          <w:color w:val="auto"/>
          <w:szCs w:val="21"/>
          <w:highlight w:val="none"/>
        </w:rPr>
        <w:t>。未经采购人同意，中标人也不得采用分包的形式履行合同，否则采购人有权终止合同，中标人的履约保证金将不予退还。转包或分包造成采购人损失的，中标人应承担赔偿责任。</w:t>
      </w:r>
    </w:p>
    <w:p w14:paraId="0F5779F5">
      <w:pPr>
        <w:spacing w:line="360" w:lineRule="auto"/>
        <w:ind w:firstLine="420"/>
        <w:rPr>
          <w:rFonts w:ascii="宋体" w:hAnsi="宋体"/>
          <w:bCs/>
          <w:color w:val="auto"/>
          <w:szCs w:val="21"/>
          <w:highlight w:val="none"/>
        </w:rPr>
      </w:pPr>
      <w:r>
        <w:rPr>
          <w:rFonts w:hint="eastAsia" w:ascii="宋体" w:hAnsi="宋体"/>
          <w:bCs/>
          <w:color w:val="auto"/>
          <w:szCs w:val="21"/>
          <w:highlight w:val="none"/>
        </w:rPr>
        <w:t>30.4采购人不得向中标人提出任何不合理的要求作为签订合同的条件，不得与中标人私下订立背离合同实质性内容的协议。所签订的合同不得对采购文件确定事项和中标人投标文件作实质性修改。</w:t>
      </w:r>
    </w:p>
    <w:p w14:paraId="4D81C72D">
      <w:pPr>
        <w:spacing w:line="360" w:lineRule="auto"/>
        <w:ind w:firstLine="422"/>
        <w:rPr>
          <w:rFonts w:ascii="宋体" w:hAnsi="宋体"/>
          <w:b w:val="0"/>
          <w:bCs/>
          <w:color w:val="auto"/>
          <w:szCs w:val="21"/>
          <w:highlight w:val="none"/>
        </w:rPr>
      </w:pPr>
      <w:r>
        <w:rPr>
          <w:rFonts w:hint="eastAsia" w:ascii="宋体" w:hAnsi="宋体"/>
          <w:b w:val="0"/>
          <w:bCs/>
          <w:color w:val="auto"/>
          <w:szCs w:val="21"/>
          <w:highlight w:val="none"/>
        </w:rPr>
        <w:t>31、电子投标文件要求</w:t>
      </w:r>
    </w:p>
    <w:p w14:paraId="67F20FDE">
      <w:pPr>
        <w:spacing w:line="360" w:lineRule="auto"/>
        <w:ind w:firstLine="422"/>
        <w:rPr>
          <w:rFonts w:ascii="宋体" w:hAnsi="宋体"/>
          <w:b w:val="0"/>
          <w:bCs/>
          <w:color w:val="auto"/>
          <w:szCs w:val="21"/>
          <w:highlight w:val="none"/>
        </w:rPr>
      </w:pPr>
      <w:r>
        <w:rPr>
          <w:rFonts w:hint="eastAsia" w:ascii="宋体" w:hAnsi="宋体"/>
          <w:b w:val="0"/>
          <w:bCs/>
          <w:color w:val="auto"/>
          <w:szCs w:val="21"/>
          <w:highlight w:val="none"/>
        </w:rPr>
        <w:t>31.1政府采购管理交易系统（苏采云）相关要求是本采购文件的组成部分。</w:t>
      </w:r>
    </w:p>
    <w:p w14:paraId="609A670D">
      <w:pPr>
        <w:spacing w:line="360" w:lineRule="auto"/>
        <w:ind w:firstLine="422"/>
        <w:rPr>
          <w:rFonts w:ascii="宋体" w:hAnsi="宋体"/>
          <w:b w:val="0"/>
          <w:bCs/>
          <w:color w:val="auto"/>
          <w:szCs w:val="21"/>
          <w:highlight w:val="none"/>
        </w:rPr>
      </w:pPr>
      <w:r>
        <w:rPr>
          <w:rFonts w:hint="eastAsia" w:ascii="宋体" w:hAnsi="宋体"/>
          <w:b w:val="0"/>
          <w:bCs/>
          <w:color w:val="auto"/>
          <w:szCs w:val="21"/>
          <w:highlight w:val="none"/>
        </w:rPr>
        <w:t>31.2投标人应对 CA 证书妥善保管，如被他人盗用投标，因此带来的结果均由投标人自行承担。</w:t>
      </w:r>
    </w:p>
    <w:p w14:paraId="574F5CCD">
      <w:pPr>
        <w:spacing w:line="360" w:lineRule="auto"/>
        <w:ind w:firstLine="422"/>
        <w:rPr>
          <w:rFonts w:ascii="宋体" w:hAnsi="宋体"/>
          <w:b w:val="0"/>
          <w:bCs/>
          <w:color w:val="auto"/>
          <w:szCs w:val="21"/>
          <w:highlight w:val="none"/>
        </w:rPr>
      </w:pPr>
      <w:r>
        <w:rPr>
          <w:rFonts w:hint="eastAsia" w:ascii="宋体" w:hAnsi="宋体"/>
          <w:b w:val="0"/>
          <w:bCs/>
          <w:color w:val="auto"/>
          <w:szCs w:val="21"/>
          <w:highlight w:val="none"/>
        </w:rPr>
        <w:t>31.3投标人应当对采购文件提出的要求和条件作出实质性响应，并在电子投标系统逐条应答。</w:t>
      </w:r>
    </w:p>
    <w:p w14:paraId="6349DD19">
      <w:pPr>
        <w:spacing w:line="360" w:lineRule="auto"/>
        <w:ind w:firstLine="422"/>
        <w:rPr>
          <w:rFonts w:ascii="宋体" w:hAnsi="宋体"/>
          <w:b w:val="0"/>
          <w:bCs/>
          <w:color w:val="auto"/>
          <w:szCs w:val="21"/>
          <w:highlight w:val="none"/>
        </w:rPr>
      </w:pPr>
      <w:r>
        <w:rPr>
          <w:rFonts w:hint="eastAsia" w:ascii="宋体" w:hAnsi="宋体"/>
          <w:b w:val="0"/>
          <w:bCs/>
          <w:color w:val="auto"/>
          <w:szCs w:val="21"/>
          <w:highlight w:val="none"/>
        </w:rPr>
        <w:t>31.4投标人应对要求提供的资格证明文件（如资质证书、资格证书）、技术资料（如白皮书、彩页、手册、检测报告等）扫描上传至投标系统。</w:t>
      </w:r>
    </w:p>
    <w:p w14:paraId="1889DB65">
      <w:pPr>
        <w:numPr>
          <w:ilvl w:val="0"/>
          <w:numId w:val="1"/>
        </w:numPr>
        <w:spacing w:line="360" w:lineRule="auto"/>
        <w:ind w:firstLine="422"/>
        <w:rPr>
          <w:rFonts w:ascii="宋体" w:hAnsi="宋体"/>
          <w:b w:val="0"/>
          <w:bCs/>
          <w:color w:val="auto"/>
          <w:szCs w:val="21"/>
          <w:highlight w:val="none"/>
        </w:rPr>
      </w:pPr>
      <w:r>
        <w:rPr>
          <w:rFonts w:hint="eastAsia" w:ascii="宋体" w:hAnsi="宋体"/>
          <w:b w:val="0"/>
          <w:bCs/>
          <w:color w:val="auto"/>
          <w:szCs w:val="21"/>
          <w:highlight w:val="none"/>
        </w:rPr>
        <w:t>提交投标文件的截止时间（投标截止时间）</w:t>
      </w:r>
    </w:p>
    <w:p w14:paraId="0A84F853">
      <w:pPr>
        <w:spacing w:line="360" w:lineRule="auto"/>
        <w:ind w:firstLine="422"/>
        <w:rPr>
          <w:rFonts w:ascii="宋体" w:hAnsi="宋体"/>
          <w:b w:val="0"/>
          <w:bCs/>
          <w:color w:val="auto"/>
          <w:szCs w:val="21"/>
          <w:highlight w:val="none"/>
        </w:rPr>
      </w:pPr>
      <w:r>
        <w:rPr>
          <w:rFonts w:hint="eastAsia" w:ascii="宋体" w:hAnsi="宋体"/>
          <w:b w:val="0"/>
          <w:bCs/>
          <w:color w:val="auto"/>
          <w:szCs w:val="21"/>
          <w:highlight w:val="none"/>
        </w:rPr>
        <w:t>32.1投标人应当在采购文件要求提交投标文件的截止时间前，将投标文件提交至“苏采云”系统，逾期提交的投标文件，“苏采云”系统将自动拒收。</w:t>
      </w:r>
    </w:p>
    <w:p w14:paraId="7806CC1C">
      <w:pPr>
        <w:spacing w:line="360" w:lineRule="auto"/>
        <w:ind w:firstLine="422"/>
        <w:rPr>
          <w:b w:val="0"/>
          <w:bCs/>
          <w:color w:val="auto"/>
          <w:highlight w:val="none"/>
        </w:rPr>
      </w:pPr>
      <w:r>
        <w:rPr>
          <w:rFonts w:hint="eastAsia" w:ascii="宋体" w:hAnsi="宋体"/>
          <w:b w:val="0"/>
          <w:bCs/>
          <w:color w:val="auto"/>
          <w:szCs w:val="21"/>
          <w:highlight w:val="none"/>
        </w:rPr>
        <w:t>32.2各投标人应在规定时间内凭CA证书进行网上解密。</w:t>
      </w:r>
    </w:p>
    <w:p w14:paraId="136877A0">
      <w:pPr>
        <w:spacing w:line="360" w:lineRule="auto"/>
        <w:ind w:firstLine="422"/>
        <w:jc w:val="left"/>
        <w:rPr>
          <w:rFonts w:ascii="宋体" w:hAnsi="宋体"/>
          <w:bCs/>
          <w:color w:val="auto"/>
          <w:szCs w:val="21"/>
          <w:highlight w:val="none"/>
        </w:rPr>
      </w:pPr>
      <w:r>
        <w:rPr>
          <w:rFonts w:hint="eastAsia" w:ascii="宋体" w:hAnsi="宋体"/>
          <w:b w:val="0"/>
          <w:bCs/>
          <w:color w:val="auto"/>
          <w:szCs w:val="21"/>
          <w:highlight w:val="none"/>
        </w:rPr>
        <w:t>33、其他</w:t>
      </w:r>
      <w:r>
        <w:rPr>
          <w:b w:val="0"/>
          <w:bCs/>
          <w:color w:val="auto"/>
          <w:highlight w:val="none"/>
        </w:rPr>
        <w:br w:type="textWrapping" w:clear="all"/>
      </w:r>
      <w:r>
        <w:rPr>
          <w:b w:val="0"/>
          <w:bCs/>
          <w:color w:val="auto"/>
          <w:highlight w:val="none"/>
        </w:rPr>
        <w:t xml:space="preserve"> </w:t>
      </w:r>
      <w:r>
        <w:rPr>
          <w:rFonts w:hint="eastAsia" w:ascii="宋体" w:hAnsi="宋体"/>
          <w:b w:val="0"/>
          <w:bCs/>
          <w:color w:val="auto"/>
          <w:szCs w:val="21"/>
          <w:highlight w:val="none"/>
        </w:rPr>
        <w:t xml:space="preserve">   33.1 </w:t>
      </w:r>
      <w:r>
        <w:rPr>
          <w:rFonts w:hint="eastAsia"/>
          <w:b w:val="0"/>
          <w:bCs/>
          <w:color w:val="auto"/>
          <w:highlight w:val="none"/>
        </w:rPr>
        <w:t>依据《政府采购促进中小企业发展管理办法》享受享受扶持政策获得政府采购合同的，小微企业不得将合同分包给大中型企</w:t>
      </w:r>
      <w:r>
        <w:rPr>
          <w:rFonts w:hint="eastAsia"/>
          <w:color w:val="auto"/>
          <w:highlight w:val="none"/>
        </w:rPr>
        <w:t>业，中型企业不得将合同分包给大型企业。</w:t>
      </w:r>
    </w:p>
    <w:p w14:paraId="4A2F73BA">
      <w:pPr>
        <w:spacing w:line="360" w:lineRule="auto"/>
        <w:rPr>
          <w:rFonts w:ascii="宋体" w:hAnsi="宋体"/>
          <w:bCs/>
          <w:color w:val="auto"/>
          <w:szCs w:val="21"/>
          <w:highlight w:val="none"/>
        </w:rPr>
      </w:pPr>
    </w:p>
    <w:p w14:paraId="3A5B8831">
      <w:pPr>
        <w:pStyle w:val="2"/>
        <w:keepNext/>
        <w:keepLines/>
        <w:pageBreakBefore w:val="0"/>
        <w:widowControl w:val="0"/>
        <w:kinsoku/>
        <w:wordWrap/>
        <w:overflowPunct/>
        <w:topLinePunct w:val="0"/>
        <w:autoSpaceDE/>
        <w:autoSpaceDN/>
        <w:bidi w:val="0"/>
        <w:adjustRightInd w:val="0"/>
        <w:snapToGrid w:val="0"/>
        <w:spacing w:before="0" w:after="0" w:line="440" w:lineRule="exact"/>
        <w:jc w:val="center"/>
        <w:textAlignment w:val="auto"/>
        <w:rPr>
          <w:rFonts w:hint="eastAsia" w:ascii="宋体" w:hAnsi="宋体" w:eastAsia="宋体" w:cs="宋体"/>
          <w:b/>
          <w:bCs/>
          <w:color w:val="auto"/>
          <w:sz w:val="28"/>
          <w:szCs w:val="28"/>
          <w:highlight w:val="none"/>
          <w:lang w:val="en-US" w:eastAsia="zh-CN"/>
        </w:rPr>
      </w:pPr>
      <w:bookmarkStart w:id="59" w:name="_Toc55204179"/>
      <w:bookmarkStart w:id="60" w:name="_Hlk69392822"/>
      <w:r>
        <w:rPr>
          <w:rFonts w:hint="eastAsia" w:ascii="宋体" w:hAnsi="宋体"/>
          <w:color w:val="auto"/>
          <w:szCs w:val="36"/>
          <w:highlight w:val="none"/>
        </w:rPr>
        <w:br w:type="page" w:clear="all"/>
      </w:r>
      <w:bookmarkStart w:id="61" w:name="_Toc19101"/>
      <w:bookmarkStart w:id="62" w:name="_Toc14218"/>
      <w:r>
        <w:rPr>
          <w:rFonts w:hint="eastAsia" w:ascii="宋体" w:hAnsi="宋体" w:eastAsia="宋体" w:cs="宋体"/>
          <w:b/>
          <w:bCs/>
          <w:color w:val="auto"/>
          <w:sz w:val="28"/>
          <w:szCs w:val="28"/>
          <w:highlight w:val="none"/>
          <w:lang w:val="en-US" w:eastAsia="zh-CN"/>
        </w:rPr>
        <w:t>第三章 合同条款及格式</w:t>
      </w:r>
      <w:bookmarkEnd w:id="59"/>
      <w:bookmarkEnd w:id="61"/>
      <w:bookmarkEnd w:id="62"/>
    </w:p>
    <w:p w14:paraId="3174DE2B">
      <w:pPr>
        <w:spacing w:line="300" w:lineRule="auto"/>
        <w:ind w:right="17"/>
        <w:rPr>
          <w:rFonts w:hint="eastAsia" w:ascii="宋体" w:hAnsi="宋体"/>
          <w:b/>
          <w:color w:val="auto"/>
          <w:szCs w:val="21"/>
          <w:highlight w:val="none"/>
        </w:rPr>
      </w:pPr>
    </w:p>
    <w:p w14:paraId="0DC76DFC">
      <w:pPr>
        <w:spacing w:line="300" w:lineRule="auto"/>
        <w:ind w:right="17"/>
        <w:rPr>
          <w:rFonts w:ascii="宋体" w:hAnsi="宋体"/>
          <w:b/>
          <w:color w:val="auto"/>
          <w:szCs w:val="21"/>
          <w:highlight w:val="none"/>
        </w:rPr>
      </w:pPr>
      <w:r>
        <w:rPr>
          <w:rFonts w:hint="eastAsia" w:ascii="宋体" w:hAnsi="宋体"/>
          <w:b/>
          <w:color w:val="auto"/>
          <w:szCs w:val="21"/>
          <w:highlight w:val="none"/>
        </w:rPr>
        <w:t>注：合同签订前，采购人可根据实际情况调整合同内容，成交供应商不得提出异议。</w:t>
      </w:r>
    </w:p>
    <w:p w14:paraId="09296EF0">
      <w:pPr>
        <w:spacing w:line="300" w:lineRule="auto"/>
        <w:jc w:val="left"/>
        <w:rPr>
          <w:rFonts w:hint="eastAsia" w:ascii="宋体" w:hAnsi="宋体" w:cs="Microsoft New Tai Lue"/>
          <w:color w:val="auto"/>
          <w:szCs w:val="21"/>
          <w:highlight w:val="none"/>
        </w:rPr>
      </w:pPr>
    </w:p>
    <w:p w14:paraId="555771AC">
      <w:pPr>
        <w:pStyle w:val="44"/>
        <w:rPr>
          <w:rFonts w:hint="eastAsia" w:ascii="宋体" w:hAnsi="宋体" w:cs="Microsoft New Tai Lue"/>
          <w:color w:val="auto"/>
          <w:szCs w:val="21"/>
          <w:highlight w:val="none"/>
        </w:rPr>
      </w:pPr>
    </w:p>
    <w:p w14:paraId="179A07E3">
      <w:pPr>
        <w:pStyle w:val="44"/>
        <w:rPr>
          <w:rFonts w:hint="eastAsia" w:ascii="宋体" w:hAnsi="宋体" w:cs="Microsoft New Tai Lue"/>
          <w:color w:val="auto"/>
          <w:szCs w:val="21"/>
          <w:highlight w:val="none"/>
        </w:rPr>
      </w:pPr>
    </w:p>
    <w:p w14:paraId="790F0928">
      <w:pPr>
        <w:pStyle w:val="44"/>
        <w:rPr>
          <w:rFonts w:hint="eastAsia" w:ascii="宋体" w:hAnsi="宋体" w:cs="Microsoft New Tai Lue"/>
          <w:color w:val="auto"/>
          <w:szCs w:val="21"/>
          <w:highlight w:val="none"/>
        </w:rPr>
      </w:pPr>
    </w:p>
    <w:p w14:paraId="5E5B3ADA">
      <w:pPr>
        <w:pStyle w:val="44"/>
        <w:rPr>
          <w:rFonts w:hint="eastAsia" w:ascii="宋体" w:hAnsi="宋体" w:cs="Microsoft New Tai Lue"/>
          <w:color w:val="auto"/>
          <w:szCs w:val="21"/>
          <w:highlight w:val="none"/>
        </w:rPr>
      </w:pPr>
    </w:p>
    <w:p w14:paraId="54649E2A">
      <w:pPr>
        <w:pStyle w:val="44"/>
        <w:rPr>
          <w:rFonts w:hint="eastAsia" w:ascii="宋体" w:hAnsi="宋体" w:cs="Microsoft New Tai Lue"/>
          <w:color w:val="auto"/>
          <w:szCs w:val="21"/>
          <w:highlight w:val="none"/>
        </w:rPr>
      </w:pPr>
    </w:p>
    <w:p w14:paraId="4CEA3620">
      <w:pPr>
        <w:pStyle w:val="44"/>
        <w:rPr>
          <w:rFonts w:hint="eastAsia" w:ascii="宋体" w:hAnsi="宋体" w:cs="Microsoft New Tai Lue"/>
          <w:color w:val="auto"/>
          <w:szCs w:val="21"/>
          <w:highlight w:val="none"/>
        </w:rPr>
      </w:pPr>
    </w:p>
    <w:p w14:paraId="06E0171E">
      <w:pPr>
        <w:pStyle w:val="44"/>
        <w:rPr>
          <w:rFonts w:hint="eastAsia" w:ascii="宋体" w:hAnsi="宋体" w:cs="Microsoft New Tai Lue"/>
          <w:color w:val="auto"/>
          <w:szCs w:val="21"/>
          <w:highlight w:val="none"/>
        </w:rPr>
      </w:pPr>
    </w:p>
    <w:p w14:paraId="567CC725">
      <w:pPr>
        <w:pStyle w:val="44"/>
        <w:rPr>
          <w:rFonts w:hint="eastAsia" w:ascii="宋体" w:hAnsi="宋体" w:cs="Microsoft New Tai Lue"/>
          <w:color w:val="auto"/>
          <w:szCs w:val="21"/>
          <w:highlight w:val="none"/>
        </w:rPr>
      </w:pPr>
    </w:p>
    <w:p w14:paraId="0468E4FA">
      <w:pPr>
        <w:pStyle w:val="44"/>
        <w:rPr>
          <w:rFonts w:hint="eastAsia" w:ascii="宋体" w:hAnsi="宋体" w:cs="Microsoft New Tai Lue"/>
          <w:color w:val="auto"/>
          <w:szCs w:val="21"/>
          <w:highlight w:val="none"/>
        </w:rPr>
      </w:pPr>
    </w:p>
    <w:p w14:paraId="3E927EAE">
      <w:pPr>
        <w:pStyle w:val="44"/>
        <w:rPr>
          <w:rFonts w:hint="eastAsia" w:ascii="宋体" w:hAnsi="宋体" w:cs="Microsoft New Tai Lue"/>
          <w:color w:val="auto"/>
          <w:szCs w:val="21"/>
          <w:highlight w:val="none"/>
        </w:rPr>
      </w:pPr>
    </w:p>
    <w:p w14:paraId="626CB73E">
      <w:pPr>
        <w:pStyle w:val="44"/>
        <w:rPr>
          <w:rFonts w:hint="eastAsia" w:ascii="宋体" w:hAnsi="宋体" w:cs="Microsoft New Tai Lue"/>
          <w:color w:val="auto"/>
          <w:szCs w:val="21"/>
          <w:highlight w:val="none"/>
        </w:rPr>
      </w:pPr>
    </w:p>
    <w:p w14:paraId="280C21A3">
      <w:pPr>
        <w:widowControl/>
        <w:jc w:val="center"/>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政府采购合同</w:t>
      </w:r>
      <w:r>
        <w:rPr>
          <w:rFonts w:hint="eastAsia" w:ascii="宋体" w:hAnsi="宋体" w:cs="宋体"/>
          <w:b/>
          <w:bCs/>
          <w:color w:val="auto"/>
          <w:sz w:val="32"/>
          <w:szCs w:val="32"/>
          <w:highlight w:val="none"/>
          <w:lang w:eastAsia="zh-CN"/>
        </w:rPr>
        <w:t>（</w:t>
      </w:r>
      <w:r>
        <w:rPr>
          <w:rFonts w:hint="eastAsia" w:ascii="宋体" w:hAnsi="宋体" w:cs="宋体"/>
          <w:b/>
          <w:bCs/>
          <w:color w:val="auto"/>
          <w:sz w:val="32"/>
          <w:szCs w:val="32"/>
          <w:highlight w:val="none"/>
          <w:lang w:val="en-US" w:eastAsia="zh-CN"/>
        </w:rPr>
        <w:t>参考）</w:t>
      </w:r>
    </w:p>
    <w:p w14:paraId="32E4AC20">
      <w:pPr>
        <w:widowControl/>
        <w:rPr>
          <w:rFonts w:ascii="宋体" w:hAnsi="宋体" w:cs="宋体"/>
          <w:b/>
          <w:bCs/>
          <w:color w:val="auto"/>
          <w:sz w:val="36"/>
          <w:szCs w:val="36"/>
          <w:highlight w:val="none"/>
        </w:rPr>
      </w:pPr>
    </w:p>
    <w:p w14:paraId="7C2B24E4">
      <w:pPr>
        <w:widowControl/>
        <w:rPr>
          <w:rFonts w:ascii="宋体" w:hAnsi="宋体" w:cs="宋体"/>
          <w:color w:val="auto"/>
          <w:szCs w:val="21"/>
          <w:highlight w:val="none"/>
        </w:rPr>
      </w:pPr>
    </w:p>
    <w:p w14:paraId="453A378A">
      <w:pPr>
        <w:widowControl/>
        <w:rPr>
          <w:rFonts w:ascii="宋体" w:hAnsi="宋体" w:cs="宋体"/>
          <w:color w:val="auto"/>
          <w:szCs w:val="21"/>
          <w:highlight w:val="none"/>
        </w:rPr>
      </w:pPr>
    </w:p>
    <w:p w14:paraId="34F30F33">
      <w:pPr>
        <w:widowControl/>
        <w:ind w:firstLine="315"/>
        <w:rPr>
          <w:rFonts w:ascii="宋体" w:hAnsi="宋体" w:cs="宋体"/>
          <w:color w:val="auto"/>
          <w:szCs w:val="21"/>
          <w:highlight w:val="none"/>
        </w:rPr>
      </w:pPr>
    </w:p>
    <w:p w14:paraId="44E0C88A">
      <w:pPr>
        <w:widowControl/>
        <w:rPr>
          <w:rFonts w:ascii="宋体" w:hAnsi="宋体" w:cs="宋体"/>
          <w:color w:val="auto"/>
          <w:szCs w:val="21"/>
          <w:highlight w:val="none"/>
        </w:rPr>
      </w:pPr>
    </w:p>
    <w:p w14:paraId="500D3E42">
      <w:pPr>
        <w:widowControl/>
        <w:rPr>
          <w:rFonts w:ascii="宋体" w:hAnsi="宋体" w:cs="宋体"/>
          <w:color w:val="auto"/>
          <w:szCs w:val="21"/>
          <w:highlight w:val="none"/>
        </w:rPr>
      </w:pPr>
    </w:p>
    <w:p w14:paraId="6518C043">
      <w:pPr>
        <w:widowControl/>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合同编号：</w:t>
      </w:r>
      <w:r>
        <w:rPr>
          <w:rFonts w:hint="eastAsia" w:ascii="宋体" w:hAnsi="宋体" w:cs="宋体"/>
          <w:b/>
          <w:bCs/>
          <w:color w:val="auto"/>
          <w:sz w:val="28"/>
          <w:szCs w:val="28"/>
          <w:highlight w:val="none"/>
          <w:u w:val="single"/>
        </w:rPr>
        <w:t xml:space="preserve">                     </w:t>
      </w:r>
    </w:p>
    <w:p w14:paraId="0BDE1C14">
      <w:pPr>
        <w:widowControl/>
        <w:spacing w:line="360" w:lineRule="auto"/>
        <w:rPr>
          <w:rFonts w:ascii="宋体" w:hAnsi="宋体" w:cs="宋体"/>
          <w:b/>
          <w:bCs/>
          <w:color w:val="auto"/>
          <w:sz w:val="28"/>
          <w:szCs w:val="28"/>
          <w:highlight w:val="none"/>
          <w:u w:val="single"/>
        </w:rPr>
      </w:pPr>
      <w:r>
        <w:rPr>
          <w:rFonts w:hint="eastAsia" w:ascii="宋体" w:hAnsi="宋体" w:cs="宋体"/>
          <w:b/>
          <w:bCs/>
          <w:color w:val="auto"/>
          <w:sz w:val="28"/>
          <w:szCs w:val="28"/>
          <w:highlight w:val="none"/>
        </w:rPr>
        <w:t>项目名称：</w:t>
      </w:r>
      <w:r>
        <w:rPr>
          <w:rFonts w:hint="eastAsia" w:ascii="宋体" w:hAnsi="宋体" w:cs="宋体"/>
          <w:b/>
          <w:bCs/>
          <w:color w:val="auto"/>
          <w:sz w:val="28"/>
          <w:szCs w:val="28"/>
          <w:highlight w:val="none"/>
          <w:u w:val="single"/>
        </w:rPr>
        <w:t xml:space="preserve">                     </w:t>
      </w:r>
    </w:p>
    <w:p w14:paraId="1CAC9043">
      <w:pPr>
        <w:widowControl/>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项目编号：</w:t>
      </w:r>
      <w:r>
        <w:rPr>
          <w:rFonts w:hint="eastAsia" w:ascii="宋体" w:hAnsi="宋体" w:cs="宋体"/>
          <w:b/>
          <w:bCs/>
          <w:color w:val="auto"/>
          <w:sz w:val="28"/>
          <w:szCs w:val="28"/>
          <w:highlight w:val="none"/>
          <w:u w:val="single"/>
        </w:rPr>
        <w:t xml:space="preserve">                     </w:t>
      </w:r>
    </w:p>
    <w:p w14:paraId="46FF1540">
      <w:pPr>
        <w:widowControl/>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采购人（甲方）：</w:t>
      </w:r>
      <w:r>
        <w:rPr>
          <w:rFonts w:hint="eastAsia" w:ascii="宋体" w:hAnsi="宋体" w:cs="宋体"/>
          <w:b/>
          <w:bCs/>
          <w:color w:val="auto"/>
          <w:sz w:val="28"/>
          <w:szCs w:val="28"/>
          <w:highlight w:val="none"/>
          <w:u w:val="single"/>
        </w:rPr>
        <w:t xml:space="preserve">                     </w:t>
      </w:r>
    </w:p>
    <w:p w14:paraId="7C40968D">
      <w:pPr>
        <w:widowControl/>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供应商（乙方）：</w:t>
      </w:r>
      <w:r>
        <w:rPr>
          <w:rFonts w:hint="eastAsia" w:ascii="宋体" w:hAnsi="宋体" w:cs="宋体"/>
          <w:b/>
          <w:bCs/>
          <w:color w:val="auto"/>
          <w:sz w:val="28"/>
          <w:szCs w:val="28"/>
          <w:highlight w:val="none"/>
          <w:u w:val="single"/>
        </w:rPr>
        <w:t xml:space="preserve">                     </w:t>
      </w:r>
    </w:p>
    <w:p w14:paraId="695EB439">
      <w:pPr>
        <w:widowControl/>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签订日期：</w:t>
      </w:r>
      <w:r>
        <w:rPr>
          <w:rFonts w:hint="eastAsia" w:ascii="宋体" w:hAnsi="宋体" w:cs="宋体"/>
          <w:b/>
          <w:bCs/>
          <w:color w:val="auto"/>
          <w:sz w:val="28"/>
          <w:szCs w:val="28"/>
          <w:highlight w:val="none"/>
          <w:u w:val="single"/>
        </w:rPr>
        <w:t xml:space="preserve">                     </w:t>
      </w:r>
    </w:p>
    <w:p w14:paraId="7846D35B">
      <w:pPr>
        <w:jc w:val="left"/>
        <w:rPr>
          <w:rFonts w:ascii="宋体" w:hAnsi="宋体" w:cs="宋体"/>
          <w:color w:val="auto"/>
          <w:sz w:val="28"/>
          <w:szCs w:val="28"/>
          <w:highlight w:val="none"/>
        </w:rPr>
      </w:pPr>
    </w:p>
    <w:p w14:paraId="6D222884">
      <w:pPr>
        <w:ind w:left="-420" w:leftChars="-200" w:right="-313" w:rightChars="-149" w:firstLine="241" w:firstLineChars="100"/>
        <w:jc w:val="left"/>
        <w:rPr>
          <w:rFonts w:ascii="宋体" w:hAnsi="宋体" w:cs="宋体"/>
          <w:b/>
          <w:bCs/>
          <w:color w:val="auto"/>
          <w:sz w:val="24"/>
          <w:highlight w:val="none"/>
        </w:rPr>
      </w:pPr>
    </w:p>
    <w:p w14:paraId="35167CC8">
      <w:pPr>
        <w:ind w:left="-420" w:leftChars="-200" w:right="-313" w:rightChars="-149" w:firstLine="241" w:firstLineChars="100"/>
        <w:jc w:val="left"/>
        <w:rPr>
          <w:rFonts w:ascii="宋体" w:hAnsi="宋体" w:cs="宋体"/>
          <w:b/>
          <w:bCs/>
          <w:color w:val="auto"/>
          <w:sz w:val="24"/>
          <w:highlight w:val="none"/>
        </w:rPr>
      </w:pPr>
    </w:p>
    <w:p w14:paraId="5BB7FF0E">
      <w:pPr>
        <w:ind w:left="-420" w:leftChars="-200" w:right="-313" w:rightChars="-149" w:firstLine="241" w:firstLineChars="100"/>
        <w:jc w:val="left"/>
        <w:rPr>
          <w:rFonts w:ascii="宋体" w:hAnsi="宋体" w:cs="宋体"/>
          <w:b/>
          <w:bCs/>
          <w:color w:val="auto"/>
          <w:sz w:val="24"/>
          <w:highlight w:val="none"/>
        </w:rPr>
      </w:pPr>
    </w:p>
    <w:p w14:paraId="539576A0">
      <w:pPr>
        <w:pStyle w:val="22"/>
        <w:snapToGrid w:val="0"/>
        <w:spacing w:after="120" w:line="300" w:lineRule="auto"/>
        <w:rPr>
          <w:rFonts w:hAnsi="宋体"/>
          <w:color w:val="auto"/>
          <w:sz w:val="21"/>
          <w:szCs w:val="21"/>
          <w:highlight w:val="none"/>
        </w:rPr>
      </w:pPr>
      <w:r>
        <w:rPr>
          <w:color w:val="auto"/>
          <w:highlight w:val="none"/>
        </w:rPr>
        <w:br w:type="page"/>
      </w:r>
      <w:r>
        <w:rPr>
          <w:rFonts w:hAnsi="宋体"/>
          <w:color w:val="auto"/>
          <w:sz w:val="21"/>
          <w:szCs w:val="21"/>
          <w:highlight w:val="none"/>
        </w:rPr>
        <w:t>项目名称：</w:t>
      </w:r>
    </w:p>
    <w:p w14:paraId="4DD94A1E">
      <w:pPr>
        <w:pStyle w:val="22"/>
        <w:snapToGrid w:val="0"/>
        <w:spacing w:after="120" w:line="300" w:lineRule="auto"/>
        <w:rPr>
          <w:rFonts w:hAnsi="宋体"/>
          <w:color w:val="auto"/>
          <w:sz w:val="21"/>
          <w:szCs w:val="21"/>
          <w:highlight w:val="none"/>
        </w:rPr>
      </w:pPr>
      <w:r>
        <w:rPr>
          <w:rFonts w:hAnsi="宋体"/>
          <w:color w:val="auto"/>
          <w:sz w:val="21"/>
          <w:szCs w:val="21"/>
          <w:highlight w:val="none"/>
        </w:rPr>
        <w:t>项目编号：</w:t>
      </w:r>
    </w:p>
    <w:p w14:paraId="5688416D">
      <w:pPr>
        <w:pStyle w:val="22"/>
        <w:snapToGrid w:val="0"/>
        <w:spacing w:after="120" w:line="300" w:lineRule="auto"/>
        <w:rPr>
          <w:rFonts w:hAnsi="宋体"/>
          <w:color w:val="auto"/>
          <w:sz w:val="21"/>
          <w:szCs w:val="21"/>
          <w:highlight w:val="none"/>
        </w:rPr>
      </w:pPr>
      <w:r>
        <w:rPr>
          <w:rFonts w:hAnsi="宋体"/>
          <w:color w:val="auto"/>
          <w:sz w:val="21"/>
          <w:szCs w:val="21"/>
          <w:highlight w:val="none"/>
        </w:rPr>
        <w:t>甲方：（买方）</w:t>
      </w:r>
      <w:r>
        <w:rPr>
          <w:rFonts w:hint="eastAsia" w:hAnsi="宋体"/>
          <w:color w:val="auto"/>
          <w:sz w:val="21"/>
          <w:szCs w:val="21"/>
          <w:highlight w:val="none"/>
        </w:rPr>
        <w:t>_________________________________</w:t>
      </w:r>
      <w:r>
        <w:rPr>
          <w:rFonts w:hAnsi="宋体"/>
          <w:color w:val="auto"/>
          <w:sz w:val="21"/>
          <w:szCs w:val="21"/>
          <w:highlight w:val="none"/>
        </w:rPr>
        <w:t>_</w:t>
      </w:r>
    </w:p>
    <w:p w14:paraId="172D8B9C">
      <w:pPr>
        <w:pStyle w:val="22"/>
        <w:snapToGrid w:val="0"/>
        <w:spacing w:after="120" w:line="300" w:lineRule="auto"/>
        <w:rPr>
          <w:rFonts w:hAnsi="宋体"/>
          <w:color w:val="auto"/>
          <w:sz w:val="21"/>
          <w:szCs w:val="21"/>
          <w:highlight w:val="none"/>
        </w:rPr>
      </w:pPr>
      <w:r>
        <w:rPr>
          <w:rFonts w:hAnsi="宋体"/>
          <w:color w:val="auto"/>
          <w:sz w:val="21"/>
          <w:szCs w:val="21"/>
          <w:highlight w:val="none"/>
        </w:rPr>
        <w:t>乙方：（卖方）</w:t>
      </w:r>
      <w:r>
        <w:rPr>
          <w:rFonts w:hint="eastAsia" w:hAnsi="宋体"/>
          <w:color w:val="auto"/>
          <w:sz w:val="21"/>
          <w:szCs w:val="21"/>
          <w:highlight w:val="none"/>
        </w:rPr>
        <w:t>_________________________________</w:t>
      </w:r>
      <w:r>
        <w:rPr>
          <w:rFonts w:hAnsi="宋体"/>
          <w:color w:val="auto"/>
          <w:sz w:val="21"/>
          <w:szCs w:val="21"/>
          <w:highlight w:val="none"/>
        </w:rPr>
        <w:t>_</w:t>
      </w:r>
    </w:p>
    <w:p w14:paraId="30CD630B">
      <w:pPr>
        <w:pStyle w:val="22"/>
        <w:snapToGrid w:val="0"/>
        <w:spacing w:after="120" w:line="300" w:lineRule="auto"/>
        <w:rPr>
          <w:rFonts w:hAnsi="宋体"/>
          <w:color w:val="auto"/>
          <w:sz w:val="21"/>
          <w:szCs w:val="21"/>
          <w:highlight w:val="none"/>
        </w:rPr>
      </w:pPr>
      <w:r>
        <w:rPr>
          <w:rFonts w:hint="eastAsia" w:hAnsi="宋体"/>
          <w:color w:val="auto"/>
          <w:sz w:val="21"/>
          <w:szCs w:val="21"/>
          <w:highlight w:val="none"/>
        </w:rPr>
        <w:t>采购代理机构：_________________________________</w:t>
      </w:r>
      <w:r>
        <w:rPr>
          <w:rFonts w:hAnsi="宋体"/>
          <w:color w:val="auto"/>
          <w:sz w:val="21"/>
          <w:szCs w:val="21"/>
          <w:highlight w:val="none"/>
        </w:rPr>
        <w:t>_</w:t>
      </w:r>
    </w:p>
    <w:p w14:paraId="1D08AD91">
      <w:pPr>
        <w:pStyle w:val="22"/>
        <w:snapToGrid w:val="0"/>
        <w:spacing w:after="120" w:line="300" w:lineRule="auto"/>
        <w:ind w:firstLine="420" w:firstLineChars="200"/>
        <w:rPr>
          <w:rFonts w:hAnsi="宋体"/>
          <w:color w:val="auto"/>
          <w:sz w:val="21"/>
          <w:szCs w:val="21"/>
          <w:highlight w:val="none"/>
        </w:rPr>
      </w:pPr>
      <w:r>
        <w:rPr>
          <w:rFonts w:hint="eastAsia" w:hAnsi="宋体"/>
          <w:color w:val="auto"/>
          <w:sz w:val="21"/>
          <w:szCs w:val="21"/>
          <w:highlight w:val="none"/>
        </w:rPr>
        <w:t>受甲方委托，采购代理机构于___年___月___日组织了_________________________________</w:t>
      </w:r>
      <w:r>
        <w:rPr>
          <w:rFonts w:hAnsi="宋体"/>
          <w:color w:val="auto"/>
          <w:sz w:val="21"/>
          <w:szCs w:val="21"/>
          <w:highlight w:val="none"/>
        </w:rPr>
        <w:t>_</w:t>
      </w:r>
      <w:r>
        <w:rPr>
          <w:rFonts w:hint="eastAsia" w:hAnsi="宋体" w:cs="Arial Narrow"/>
          <w:color w:val="auto"/>
          <w:kern w:val="0"/>
          <w:sz w:val="21"/>
          <w:szCs w:val="21"/>
          <w:highlight w:val="none"/>
        </w:rPr>
        <w:t>项目</w:t>
      </w:r>
      <w:r>
        <w:rPr>
          <w:rFonts w:hint="eastAsia" w:hAnsi="宋体"/>
          <w:color w:val="auto"/>
          <w:sz w:val="21"/>
          <w:szCs w:val="21"/>
          <w:highlight w:val="none"/>
        </w:rPr>
        <w:t>（项目编号: ___________)的采购活动，经专家认真严格地评审，确定由乙方成交。</w:t>
      </w:r>
    </w:p>
    <w:p w14:paraId="0B1D6ED4">
      <w:pPr>
        <w:pStyle w:val="22"/>
        <w:snapToGrid w:val="0"/>
        <w:spacing w:after="120" w:line="300" w:lineRule="auto"/>
        <w:ind w:firstLine="420" w:firstLineChars="200"/>
        <w:rPr>
          <w:rFonts w:hAnsi="宋体"/>
          <w:color w:val="auto"/>
          <w:sz w:val="21"/>
          <w:szCs w:val="21"/>
          <w:highlight w:val="none"/>
        </w:rPr>
      </w:pPr>
      <w:r>
        <w:rPr>
          <w:rFonts w:hAnsi="宋体"/>
          <w:color w:val="auto"/>
          <w:sz w:val="21"/>
          <w:szCs w:val="21"/>
          <w:highlight w:val="none"/>
        </w:rPr>
        <w:t>甲、乙双方根据</w:t>
      </w:r>
      <w:r>
        <w:rPr>
          <w:rFonts w:hint="eastAsia" w:hAnsi="宋体"/>
          <w:color w:val="auto"/>
          <w:sz w:val="21"/>
          <w:szCs w:val="21"/>
          <w:highlight w:val="none"/>
        </w:rPr>
        <w:t>_________________________________</w:t>
      </w:r>
      <w:r>
        <w:rPr>
          <w:rFonts w:hAnsi="宋体"/>
          <w:color w:val="auto"/>
          <w:sz w:val="21"/>
          <w:szCs w:val="21"/>
          <w:highlight w:val="none"/>
        </w:rPr>
        <w:t>_</w:t>
      </w:r>
      <w:r>
        <w:rPr>
          <w:rFonts w:hint="eastAsia" w:hAnsi="宋体" w:cs="Arial Narrow"/>
          <w:color w:val="auto"/>
          <w:kern w:val="0"/>
          <w:sz w:val="21"/>
          <w:szCs w:val="21"/>
          <w:highlight w:val="none"/>
        </w:rPr>
        <w:t>项目</w:t>
      </w:r>
      <w:r>
        <w:rPr>
          <w:rFonts w:hAnsi="宋体"/>
          <w:color w:val="auto"/>
          <w:sz w:val="21"/>
          <w:szCs w:val="21"/>
          <w:highlight w:val="none"/>
        </w:rPr>
        <w:t>采购的结果，签署本合同。</w:t>
      </w:r>
    </w:p>
    <w:p w14:paraId="7C33F9BA">
      <w:pPr>
        <w:pStyle w:val="55"/>
        <w:spacing w:line="300" w:lineRule="auto"/>
        <w:rPr>
          <w:rFonts w:ascii="宋体" w:hAnsi="宋体" w:cs="Courier New"/>
          <w:b/>
          <w:color w:val="auto"/>
          <w:kern w:val="0"/>
          <w:sz w:val="21"/>
          <w:szCs w:val="21"/>
          <w:highlight w:val="none"/>
        </w:rPr>
      </w:pPr>
      <w:r>
        <w:rPr>
          <w:rFonts w:hint="eastAsia" w:ascii="宋体" w:hAnsi="宋体" w:cs="Courier New"/>
          <w:b/>
          <w:color w:val="auto"/>
          <w:sz w:val="21"/>
          <w:szCs w:val="21"/>
          <w:highlight w:val="none"/>
        </w:rPr>
        <w:t>一、合同内容</w:t>
      </w:r>
    </w:p>
    <w:p w14:paraId="469C6B35">
      <w:pPr>
        <w:pStyle w:val="55"/>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ascii="宋体" w:hAnsi="宋体" w:cs="Courier New"/>
          <w:color w:val="auto"/>
          <w:sz w:val="21"/>
          <w:szCs w:val="21"/>
          <w:highlight w:val="none"/>
        </w:rPr>
      </w:pPr>
      <w:r>
        <w:rPr>
          <w:rFonts w:hint="eastAsia" w:ascii="宋体" w:hAnsi="宋体" w:cs="Courier New"/>
          <w:color w:val="auto"/>
          <w:sz w:val="21"/>
          <w:szCs w:val="21"/>
          <w:highlight w:val="none"/>
        </w:rPr>
        <w:t>1.1标的名称：</w:t>
      </w:r>
      <w:r>
        <w:rPr>
          <w:rFonts w:hint="eastAsia" w:hAnsi="宋体"/>
          <w:color w:val="auto"/>
          <w:sz w:val="21"/>
          <w:szCs w:val="21"/>
          <w:highlight w:val="none"/>
        </w:rPr>
        <w:t>_________________________________</w:t>
      </w:r>
      <w:r>
        <w:rPr>
          <w:rFonts w:hAnsi="宋体"/>
          <w:color w:val="auto"/>
          <w:sz w:val="21"/>
          <w:szCs w:val="21"/>
          <w:highlight w:val="none"/>
        </w:rPr>
        <w:t>_</w:t>
      </w:r>
    </w:p>
    <w:p w14:paraId="07779DE1">
      <w:pPr>
        <w:pStyle w:val="55"/>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ascii="宋体" w:hAnsi="宋体" w:cs="Courier New"/>
          <w:color w:val="auto"/>
          <w:sz w:val="21"/>
          <w:szCs w:val="21"/>
          <w:highlight w:val="none"/>
        </w:rPr>
      </w:pPr>
      <w:r>
        <w:rPr>
          <w:rFonts w:hint="eastAsia" w:ascii="宋体" w:hAnsi="宋体" w:cs="Courier New"/>
          <w:color w:val="auto"/>
          <w:sz w:val="21"/>
          <w:szCs w:val="21"/>
          <w:highlight w:val="none"/>
        </w:rPr>
        <w:t>1.2标的质量：详见乙方</w:t>
      </w:r>
      <w:r>
        <w:rPr>
          <w:rFonts w:hint="eastAsia" w:ascii="宋体" w:hAnsi="宋体" w:cs="Courier New"/>
          <w:color w:val="auto"/>
          <w:sz w:val="21"/>
          <w:szCs w:val="21"/>
          <w:highlight w:val="none"/>
          <w:lang w:eastAsia="zh-CN"/>
        </w:rPr>
        <w:t>投标文件</w:t>
      </w:r>
      <w:r>
        <w:rPr>
          <w:rFonts w:hint="eastAsia" w:ascii="宋体" w:hAnsi="宋体" w:cs="Courier New"/>
          <w:color w:val="auto"/>
          <w:sz w:val="21"/>
          <w:szCs w:val="21"/>
          <w:highlight w:val="none"/>
        </w:rPr>
        <w:t>等。</w:t>
      </w:r>
    </w:p>
    <w:p w14:paraId="5F70B9C9">
      <w:pPr>
        <w:pStyle w:val="55"/>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ascii="宋体" w:hAnsi="宋体" w:cs="Courier New"/>
          <w:color w:val="auto"/>
          <w:sz w:val="21"/>
          <w:szCs w:val="21"/>
          <w:highlight w:val="none"/>
        </w:rPr>
      </w:pPr>
      <w:r>
        <w:rPr>
          <w:rFonts w:hint="eastAsia" w:ascii="宋体" w:hAnsi="宋体" w:cs="Courier New"/>
          <w:color w:val="auto"/>
          <w:sz w:val="21"/>
          <w:szCs w:val="21"/>
          <w:highlight w:val="none"/>
        </w:rPr>
        <w:t>1.3标的数量（规模）：乙方必须按甲方的要求及乙方</w:t>
      </w:r>
      <w:r>
        <w:rPr>
          <w:rFonts w:hint="eastAsia" w:ascii="宋体" w:hAnsi="宋体" w:cs="Courier New"/>
          <w:color w:val="auto"/>
          <w:sz w:val="21"/>
          <w:szCs w:val="21"/>
          <w:highlight w:val="none"/>
          <w:lang w:eastAsia="zh-CN"/>
        </w:rPr>
        <w:t>投标文件</w:t>
      </w:r>
      <w:r>
        <w:rPr>
          <w:rFonts w:hint="eastAsia" w:ascii="宋体" w:hAnsi="宋体" w:cs="Courier New"/>
          <w:color w:val="auto"/>
          <w:sz w:val="21"/>
          <w:szCs w:val="21"/>
          <w:highlight w:val="none"/>
        </w:rPr>
        <w:t>所承诺和确定的服务项目及质量标准实施服务。</w:t>
      </w:r>
    </w:p>
    <w:p w14:paraId="1E278C62">
      <w:pPr>
        <w:pStyle w:val="55"/>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ascii="宋体" w:hAnsi="宋体" w:cs="Courier New"/>
          <w:color w:val="auto"/>
          <w:sz w:val="21"/>
          <w:szCs w:val="21"/>
          <w:highlight w:val="none"/>
        </w:rPr>
      </w:pPr>
      <w:r>
        <w:rPr>
          <w:rFonts w:hint="eastAsia" w:ascii="宋体" w:hAnsi="宋体" w:cs="Courier New"/>
          <w:color w:val="auto"/>
          <w:sz w:val="21"/>
          <w:szCs w:val="21"/>
          <w:highlight w:val="none"/>
        </w:rPr>
        <w:t>1.4履行时间（期限）：</w:t>
      </w:r>
      <w:r>
        <w:rPr>
          <w:rFonts w:hint="eastAsia" w:hAnsi="宋体"/>
          <w:color w:val="auto"/>
          <w:sz w:val="21"/>
          <w:szCs w:val="21"/>
          <w:highlight w:val="none"/>
        </w:rPr>
        <w:t>_________________________________</w:t>
      </w:r>
      <w:r>
        <w:rPr>
          <w:rFonts w:hAnsi="宋体"/>
          <w:color w:val="auto"/>
          <w:sz w:val="21"/>
          <w:szCs w:val="21"/>
          <w:highlight w:val="none"/>
        </w:rPr>
        <w:t>_</w:t>
      </w:r>
      <w:r>
        <w:rPr>
          <w:rFonts w:hint="eastAsia" w:ascii="宋体" w:hAnsi="宋体"/>
          <w:bCs/>
          <w:color w:val="auto"/>
          <w:sz w:val="21"/>
          <w:szCs w:val="21"/>
          <w:highlight w:val="none"/>
        </w:rPr>
        <w:t>。</w:t>
      </w:r>
    </w:p>
    <w:p w14:paraId="63EEF757">
      <w:pPr>
        <w:pStyle w:val="55"/>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ascii="宋体" w:hAnsi="宋体" w:cs="Courier New"/>
          <w:color w:val="auto"/>
          <w:sz w:val="21"/>
          <w:szCs w:val="21"/>
          <w:highlight w:val="none"/>
        </w:rPr>
      </w:pPr>
      <w:r>
        <w:rPr>
          <w:rFonts w:hint="eastAsia" w:ascii="宋体" w:hAnsi="宋体" w:cs="Courier New"/>
          <w:color w:val="auto"/>
          <w:sz w:val="21"/>
          <w:szCs w:val="21"/>
          <w:highlight w:val="none"/>
        </w:rPr>
        <w:t>1.5履行地点：</w:t>
      </w:r>
      <w:r>
        <w:rPr>
          <w:rFonts w:hint="eastAsia" w:ascii="宋体" w:hAnsi="宋体"/>
          <w:color w:val="auto"/>
          <w:sz w:val="21"/>
          <w:szCs w:val="21"/>
          <w:highlight w:val="none"/>
        </w:rPr>
        <w:t>采购人指定地点。</w:t>
      </w:r>
    </w:p>
    <w:p w14:paraId="7D58B74B">
      <w:pPr>
        <w:pStyle w:val="55"/>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ascii="宋体" w:hAnsi="宋体" w:cs="Courier New"/>
          <w:color w:val="auto"/>
          <w:sz w:val="21"/>
          <w:szCs w:val="21"/>
          <w:highlight w:val="none"/>
        </w:rPr>
      </w:pPr>
      <w:r>
        <w:rPr>
          <w:rFonts w:hint="eastAsia" w:ascii="宋体" w:hAnsi="宋体" w:cs="Courier New"/>
          <w:color w:val="auto"/>
          <w:sz w:val="21"/>
          <w:szCs w:val="21"/>
          <w:highlight w:val="none"/>
        </w:rPr>
        <w:t>1.6履行方式：详见乙方</w:t>
      </w:r>
      <w:r>
        <w:rPr>
          <w:rFonts w:hint="eastAsia" w:ascii="宋体" w:hAnsi="宋体" w:cs="Courier New"/>
          <w:color w:val="auto"/>
          <w:sz w:val="21"/>
          <w:szCs w:val="21"/>
          <w:highlight w:val="none"/>
          <w:lang w:eastAsia="zh-CN"/>
        </w:rPr>
        <w:t>投标文件</w:t>
      </w:r>
      <w:r>
        <w:rPr>
          <w:rFonts w:hint="eastAsia" w:ascii="宋体" w:hAnsi="宋体" w:cs="Courier New"/>
          <w:color w:val="auto"/>
          <w:sz w:val="21"/>
          <w:szCs w:val="21"/>
          <w:highlight w:val="none"/>
        </w:rPr>
        <w:t>等。</w:t>
      </w:r>
    </w:p>
    <w:p w14:paraId="6EC0A065">
      <w:pPr>
        <w:pStyle w:val="55"/>
        <w:spacing w:line="300" w:lineRule="auto"/>
        <w:rPr>
          <w:rFonts w:ascii="宋体" w:hAnsi="宋体" w:cs="Courier New"/>
          <w:b/>
          <w:color w:val="auto"/>
          <w:sz w:val="21"/>
          <w:szCs w:val="21"/>
          <w:highlight w:val="none"/>
        </w:rPr>
      </w:pPr>
      <w:r>
        <w:rPr>
          <w:rFonts w:hint="eastAsia" w:ascii="宋体" w:hAnsi="宋体" w:cs="Courier New"/>
          <w:b/>
          <w:color w:val="auto"/>
          <w:sz w:val="21"/>
          <w:szCs w:val="21"/>
          <w:highlight w:val="none"/>
        </w:rPr>
        <w:t>二、合同金额</w:t>
      </w:r>
    </w:p>
    <w:p w14:paraId="58E1AF9B">
      <w:pPr>
        <w:pStyle w:val="55"/>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ascii="宋体" w:hAnsi="宋体" w:cs="Courier New"/>
          <w:color w:val="auto"/>
          <w:sz w:val="21"/>
          <w:szCs w:val="21"/>
          <w:highlight w:val="none"/>
        </w:rPr>
      </w:pPr>
      <w:r>
        <w:rPr>
          <w:rFonts w:hint="eastAsia" w:ascii="宋体" w:hAnsi="宋体" w:eastAsia="宋体" w:cs="Times New Roman"/>
          <w:color w:val="auto"/>
          <w:sz w:val="21"/>
          <w:szCs w:val="21"/>
          <w:highlight w:val="none"/>
          <w:lang w:val="en-US" w:eastAsia="zh-CN" w:bidi="ar-SA"/>
        </w:rPr>
        <w:t>2.1 本合同金额为（大写）：____________________________________圆（_______________元）人民币。本合同总价款是乙方完成本项目所发生的所有含税费用、支付给员工的工资和国家强制缴纳的</w:t>
      </w:r>
      <w:r>
        <w:rPr>
          <w:rFonts w:hint="eastAsia" w:ascii="宋体" w:hAnsi="宋体"/>
          <w:color w:val="auto"/>
          <w:sz w:val="21"/>
          <w:szCs w:val="21"/>
          <w:highlight w:val="none"/>
        </w:rPr>
        <w:t>各种社会保障资金，以及履行本合同过程中乙方认为需要的其他费用等。本合同执行期间合同总价款不变。</w:t>
      </w:r>
    </w:p>
    <w:p w14:paraId="75510BD3">
      <w:pPr>
        <w:pStyle w:val="55"/>
        <w:spacing w:line="300" w:lineRule="auto"/>
        <w:rPr>
          <w:rFonts w:ascii="宋体" w:hAnsi="宋体" w:cs="Courier New"/>
          <w:b/>
          <w:color w:val="auto"/>
          <w:kern w:val="0"/>
          <w:sz w:val="21"/>
          <w:szCs w:val="21"/>
          <w:highlight w:val="none"/>
        </w:rPr>
      </w:pPr>
      <w:r>
        <w:rPr>
          <w:rFonts w:hint="eastAsia" w:ascii="宋体" w:hAnsi="宋体" w:cs="Courier New"/>
          <w:b/>
          <w:color w:val="auto"/>
          <w:sz w:val="21"/>
          <w:szCs w:val="21"/>
          <w:highlight w:val="none"/>
        </w:rPr>
        <w:t>三、技术资料</w:t>
      </w:r>
    </w:p>
    <w:p w14:paraId="6602C68C">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3.1乙方应在规定的时间向甲方提供与合同标的有关的技术资料。</w:t>
      </w:r>
    </w:p>
    <w:p w14:paraId="620734D4">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F7CE9D">
      <w:pPr>
        <w:pStyle w:val="55"/>
        <w:spacing w:line="300" w:lineRule="auto"/>
        <w:rPr>
          <w:rFonts w:ascii="宋体" w:hAnsi="宋体" w:cs="Courier New"/>
          <w:b/>
          <w:color w:val="auto"/>
          <w:kern w:val="0"/>
          <w:sz w:val="21"/>
          <w:szCs w:val="21"/>
          <w:highlight w:val="none"/>
        </w:rPr>
      </w:pPr>
      <w:r>
        <w:rPr>
          <w:rFonts w:hint="eastAsia" w:ascii="宋体" w:hAnsi="宋体" w:cs="Courier New"/>
          <w:b/>
          <w:color w:val="auto"/>
          <w:sz w:val="21"/>
          <w:szCs w:val="21"/>
          <w:highlight w:val="none"/>
        </w:rPr>
        <w:t>四、知识产权</w:t>
      </w:r>
    </w:p>
    <w:p w14:paraId="4ACC8B97">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4.1乙方应保证甲方在使用、接受本合同标的或其任何一部分时不受第三方提出侵犯其专利权、版权、商标权和工业设计权等知识产权的起诉。一旦出现侵权，由乙方负全部责任。</w:t>
      </w:r>
    </w:p>
    <w:p w14:paraId="7ACED300">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4.2甲乙双方都有义务对由于本合同所获知的商业秘密、技术资料及其他具有商业价值敏感信息进行保密，此项义务包括但不限于：在未经以上信息所有人书面同意的情况下，不应该将该信息透露给任何第三方；在未经以上信息所有人书面同意的情况下，不应该将信息使用于与本合同无关的地方。</w:t>
      </w:r>
    </w:p>
    <w:p w14:paraId="1B1CE788">
      <w:pPr>
        <w:pStyle w:val="55"/>
        <w:spacing w:line="300" w:lineRule="auto"/>
        <w:rPr>
          <w:rFonts w:ascii="宋体" w:hAnsi="宋体" w:cs="Courier New"/>
          <w:color w:val="auto"/>
          <w:kern w:val="0"/>
          <w:sz w:val="21"/>
          <w:szCs w:val="21"/>
          <w:highlight w:val="none"/>
          <w:u w:val="single"/>
        </w:rPr>
      </w:pPr>
      <w:r>
        <w:rPr>
          <w:rFonts w:hint="eastAsia" w:ascii="宋体" w:hAnsi="宋体" w:cs="Courier New"/>
          <w:b/>
          <w:color w:val="auto"/>
          <w:sz w:val="21"/>
          <w:szCs w:val="21"/>
          <w:highlight w:val="none"/>
        </w:rPr>
        <w:t>五、产权担保</w:t>
      </w:r>
    </w:p>
    <w:p w14:paraId="4A286B13">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5.1乙方保证所交付的合同标的的所有权完全属于乙方且无任何抵押、查封等产权瑕疵，且产品附带的有形资产无任何抵押、查封等权利瑕疵。</w:t>
      </w:r>
    </w:p>
    <w:p w14:paraId="519EEDC7">
      <w:pPr>
        <w:pStyle w:val="55"/>
        <w:spacing w:line="300" w:lineRule="auto"/>
        <w:rPr>
          <w:rFonts w:ascii="宋体" w:hAnsi="宋体"/>
          <w:b/>
          <w:color w:val="auto"/>
          <w:sz w:val="21"/>
          <w:szCs w:val="21"/>
          <w:highlight w:val="none"/>
        </w:rPr>
      </w:pPr>
      <w:r>
        <w:rPr>
          <w:rFonts w:ascii="宋体" w:hAnsi="宋体"/>
          <w:b/>
          <w:color w:val="auto"/>
          <w:sz w:val="21"/>
          <w:szCs w:val="21"/>
          <w:highlight w:val="none"/>
        </w:rPr>
        <w:t>六、履约</w:t>
      </w:r>
      <w:r>
        <w:rPr>
          <w:rFonts w:hint="eastAsia" w:ascii="宋体" w:hAnsi="宋体"/>
          <w:b/>
          <w:color w:val="auto"/>
          <w:sz w:val="21"/>
          <w:szCs w:val="21"/>
          <w:highlight w:val="none"/>
        </w:rPr>
        <w:t>保函（本项目不适用）</w:t>
      </w:r>
    </w:p>
    <w:p w14:paraId="269F4191">
      <w:pPr>
        <w:pStyle w:val="55"/>
        <w:spacing w:line="300" w:lineRule="auto"/>
        <w:rPr>
          <w:rFonts w:ascii="宋体" w:hAnsi="宋体"/>
          <w:b/>
          <w:color w:val="auto"/>
          <w:sz w:val="21"/>
          <w:szCs w:val="21"/>
          <w:highlight w:val="none"/>
        </w:rPr>
      </w:pPr>
      <w:r>
        <w:rPr>
          <w:rFonts w:hint="eastAsia" w:ascii="宋体" w:hAnsi="宋体"/>
          <w:b/>
          <w:color w:val="auto"/>
          <w:sz w:val="21"/>
          <w:szCs w:val="21"/>
          <w:highlight w:val="none"/>
        </w:rPr>
        <w:t>七、转包或分包</w:t>
      </w:r>
    </w:p>
    <w:p w14:paraId="1EA2A59A">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7.1乙方不得将合同标的转包给他人履行。</w:t>
      </w:r>
    </w:p>
    <w:p w14:paraId="1A53A86A">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7.2乙方不得将合同标的分包给他人履行。</w:t>
      </w:r>
    </w:p>
    <w:p w14:paraId="3D84A10F">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7.3乙方如有转包或未经甲方同意的分包行为，甲方有权解除合同，要求乙方退回全部已付款项并支付合同总价30%的违约金。</w:t>
      </w:r>
    </w:p>
    <w:p w14:paraId="0562AEA5">
      <w:pPr>
        <w:pStyle w:val="55"/>
        <w:spacing w:line="300" w:lineRule="auto"/>
        <w:rPr>
          <w:rFonts w:ascii="宋体" w:hAnsi="宋体" w:cs="Courier New"/>
          <w:b/>
          <w:color w:val="auto"/>
          <w:kern w:val="0"/>
          <w:sz w:val="21"/>
          <w:szCs w:val="21"/>
          <w:highlight w:val="none"/>
        </w:rPr>
      </w:pPr>
      <w:r>
        <w:rPr>
          <w:rFonts w:hint="eastAsia" w:ascii="宋体" w:hAnsi="宋体" w:cs="Courier New"/>
          <w:b/>
          <w:color w:val="auto"/>
          <w:sz w:val="21"/>
          <w:szCs w:val="21"/>
          <w:highlight w:val="none"/>
        </w:rPr>
        <w:t>八、合同款项支付</w:t>
      </w:r>
    </w:p>
    <w:p w14:paraId="3DD19C9B">
      <w:pPr>
        <w:spacing w:line="276" w:lineRule="auto"/>
        <w:ind w:firstLine="420" w:firstLineChars="200"/>
        <w:jc w:val="left"/>
        <w:rPr>
          <w:rFonts w:ascii="宋体" w:hAnsi="宋体"/>
          <w:color w:val="auto"/>
          <w:sz w:val="21"/>
          <w:szCs w:val="21"/>
          <w:highlight w:val="none"/>
        </w:rPr>
      </w:pPr>
      <w:r>
        <w:rPr>
          <w:rFonts w:hint="eastAsia" w:ascii="宋体" w:hAnsi="宋体" w:eastAsia="宋体" w:cs="宋体"/>
          <w:bCs/>
          <w:color w:val="auto"/>
          <w:kern w:val="0"/>
          <w:szCs w:val="21"/>
          <w:highlight w:val="none"/>
          <w:shd w:val="clear" w:color="auto" w:fill="FFFFFF"/>
        </w:rPr>
        <w:t>合同签订后收到中标人发票后10日内支付合同总额的30%，货到验收合格后10日内支付合同总额的60%，验收合格满一年后15日内付5%，3年后付清尾款。</w:t>
      </w:r>
    </w:p>
    <w:p w14:paraId="471E03A5">
      <w:pPr>
        <w:spacing w:line="276"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每次付款在甲方确认满足上述付款条件且收到乙方提供的符合国家规定的发票后完成。因乙方未提供符合甲方要求的增值税发票，甲方有权暂停支付款项，乙方不得以此解除合同或拒绝履行合同，应当继续履行合同约定的开发和交付义务，且甲方不承担延迟支付款项的责任。</w:t>
      </w:r>
    </w:p>
    <w:p w14:paraId="55F682A2">
      <w:pPr>
        <w:snapToGrid w:val="0"/>
        <w:spacing w:before="120" w:line="276" w:lineRule="auto"/>
        <w:ind w:firstLine="420" w:firstLineChars="200"/>
        <w:rPr>
          <w:rFonts w:cs="宋体"/>
          <w:color w:val="auto"/>
          <w:sz w:val="21"/>
          <w:szCs w:val="21"/>
          <w:highlight w:val="none"/>
        </w:rPr>
      </w:pPr>
      <w:r>
        <w:rPr>
          <w:rFonts w:hint="eastAsia" w:cs="宋体"/>
          <w:color w:val="auto"/>
          <w:sz w:val="21"/>
          <w:szCs w:val="21"/>
          <w:highlight w:val="none"/>
        </w:rPr>
        <w:t>汇款帐号如下：</w:t>
      </w:r>
    </w:p>
    <w:p w14:paraId="77C0DFE8">
      <w:pPr>
        <w:snapToGrid w:val="0"/>
        <w:spacing w:before="120" w:line="276" w:lineRule="auto"/>
        <w:ind w:firstLine="420" w:firstLineChars="200"/>
        <w:rPr>
          <w:rFonts w:cs="宋体"/>
          <w:color w:val="auto"/>
          <w:sz w:val="21"/>
          <w:szCs w:val="21"/>
          <w:highlight w:val="none"/>
        </w:rPr>
      </w:pPr>
      <w:r>
        <w:rPr>
          <w:rFonts w:hint="eastAsia" w:cs="宋体"/>
          <w:color w:val="auto"/>
          <w:sz w:val="21"/>
          <w:szCs w:val="21"/>
          <w:highlight w:val="none"/>
        </w:rPr>
        <w:t>单位名称：</w:t>
      </w:r>
    </w:p>
    <w:p w14:paraId="7A8022DE">
      <w:pPr>
        <w:snapToGrid w:val="0"/>
        <w:spacing w:before="120" w:line="276" w:lineRule="auto"/>
        <w:ind w:firstLine="420" w:firstLineChars="200"/>
        <w:rPr>
          <w:rFonts w:cs="宋体"/>
          <w:color w:val="auto"/>
          <w:sz w:val="21"/>
          <w:szCs w:val="21"/>
          <w:highlight w:val="none"/>
        </w:rPr>
      </w:pPr>
      <w:r>
        <w:rPr>
          <w:rFonts w:hint="eastAsia" w:cs="宋体"/>
          <w:color w:val="auto"/>
          <w:sz w:val="21"/>
          <w:szCs w:val="21"/>
          <w:highlight w:val="none"/>
        </w:rPr>
        <w:t>银行名称：</w:t>
      </w:r>
    </w:p>
    <w:p w14:paraId="08313319">
      <w:pPr>
        <w:snapToGrid w:val="0"/>
        <w:spacing w:before="120" w:line="276" w:lineRule="auto"/>
        <w:ind w:firstLine="420" w:firstLineChars="200"/>
        <w:rPr>
          <w:rFonts w:ascii="宋体" w:hAnsi="宋体" w:cs="Microsoft New Tai Lue"/>
          <w:color w:val="auto"/>
          <w:sz w:val="21"/>
          <w:szCs w:val="21"/>
          <w:highlight w:val="none"/>
        </w:rPr>
      </w:pPr>
      <w:r>
        <w:rPr>
          <w:rFonts w:hint="eastAsia" w:cs="宋体"/>
          <w:color w:val="auto"/>
          <w:sz w:val="21"/>
          <w:szCs w:val="21"/>
          <w:highlight w:val="none"/>
        </w:rPr>
        <w:t>帐号：</w:t>
      </w:r>
      <w:r>
        <w:rPr>
          <w:rFonts w:ascii="宋体" w:hAnsi="宋体" w:cs="Microsoft New Tai Lue"/>
          <w:color w:val="auto"/>
          <w:sz w:val="21"/>
          <w:szCs w:val="21"/>
          <w:highlight w:val="none"/>
        </w:rPr>
        <w:t xml:space="preserve"> </w:t>
      </w:r>
    </w:p>
    <w:p w14:paraId="201C5198">
      <w:pPr>
        <w:pStyle w:val="55"/>
        <w:spacing w:line="300" w:lineRule="auto"/>
        <w:rPr>
          <w:rFonts w:ascii="宋体" w:hAnsi="宋体"/>
          <w:b/>
          <w:color w:val="auto"/>
          <w:kern w:val="0"/>
          <w:sz w:val="21"/>
          <w:szCs w:val="21"/>
          <w:highlight w:val="none"/>
        </w:rPr>
      </w:pPr>
      <w:r>
        <w:rPr>
          <w:rFonts w:hint="eastAsia" w:ascii="宋体" w:hAnsi="宋体"/>
          <w:b/>
          <w:color w:val="auto"/>
          <w:sz w:val="21"/>
          <w:szCs w:val="21"/>
          <w:highlight w:val="none"/>
        </w:rPr>
        <w:t>九、税费</w:t>
      </w:r>
    </w:p>
    <w:p w14:paraId="77CCCAB8">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9.1本合同执行中相关的一切税费均由乙方负担。</w:t>
      </w:r>
    </w:p>
    <w:p w14:paraId="09721CF5">
      <w:pPr>
        <w:pStyle w:val="55"/>
        <w:spacing w:line="300" w:lineRule="auto"/>
        <w:rPr>
          <w:rFonts w:ascii="宋体" w:hAnsi="宋体" w:cs="Courier New"/>
          <w:b/>
          <w:color w:val="auto"/>
          <w:sz w:val="21"/>
          <w:szCs w:val="21"/>
          <w:highlight w:val="none"/>
        </w:rPr>
      </w:pPr>
      <w:r>
        <w:rPr>
          <w:rFonts w:hint="eastAsia" w:ascii="宋体" w:hAnsi="宋体" w:cs="Courier New"/>
          <w:b/>
          <w:color w:val="auto"/>
          <w:sz w:val="21"/>
          <w:szCs w:val="21"/>
          <w:highlight w:val="none"/>
        </w:rPr>
        <w:t>十、项目验收</w:t>
      </w:r>
    </w:p>
    <w:p w14:paraId="7EC6B53A">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10.1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DE38205">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10.2对于实际使用人和甲方分离的项目，甲方邀请实际使用人参与验收。</w:t>
      </w:r>
    </w:p>
    <w:p w14:paraId="4E40E5A4">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10.3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48E9E0AD">
      <w:pPr>
        <w:pStyle w:val="55"/>
        <w:spacing w:line="300" w:lineRule="auto"/>
        <w:rPr>
          <w:rFonts w:ascii="宋体" w:hAnsi="宋体" w:cs="Courier New"/>
          <w:b/>
          <w:color w:val="auto"/>
          <w:sz w:val="21"/>
          <w:szCs w:val="21"/>
          <w:highlight w:val="none"/>
        </w:rPr>
      </w:pPr>
      <w:r>
        <w:rPr>
          <w:rFonts w:hint="eastAsia" w:ascii="宋体" w:hAnsi="宋体" w:cs="Courier New"/>
          <w:b/>
          <w:color w:val="auto"/>
          <w:sz w:val="21"/>
          <w:szCs w:val="21"/>
          <w:highlight w:val="none"/>
        </w:rPr>
        <w:t>十一、违约责任</w:t>
      </w:r>
    </w:p>
    <w:p w14:paraId="1BA1EE76">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11.1甲方无故逾期验收和办理合同款项支付手续的,甲方应按逾期付款总额每日万分之五向乙方支付违约金。</w:t>
      </w:r>
    </w:p>
    <w:p w14:paraId="5FAA5C5E">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11.2乙方逾期交付合同标的的，乙方应按逾期交付合同总额每日5‰向甲方支付违约金，由甲方从待付合同款项中扣除。逾期超过约定日期10个工作日不能交付合同标的的，甲方可解除本合同并要求乙方双倍返还甲方已支付的款项。乙方因逾期交付合同标的或因其他违约行为导致甲方解除合同的，乙方还应向甲方支付合同价款总额10%的违约金，如造成甲方损失超过违约金的，超出部分由乙方继续承担赔偿责任。</w:t>
      </w:r>
    </w:p>
    <w:p w14:paraId="2217F5B2">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11.3乙方交付合同标的的标准不符合合同规定及磋商文件规定标准的，甲方有权拒绝接受合同标的，并可单方面解除合同，要求乙方退回全部已付款项并支付合同总价30%的违约金。</w:t>
      </w:r>
    </w:p>
    <w:p w14:paraId="7DCD03D7">
      <w:pPr>
        <w:pStyle w:val="55"/>
        <w:spacing w:line="300" w:lineRule="auto"/>
        <w:rPr>
          <w:rFonts w:ascii="宋体" w:hAnsi="宋体" w:cs="Courier New"/>
          <w:b/>
          <w:color w:val="auto"/>
          <w:sz w:val="21"/>
          <w:szCs w:val="21"/>
          <w:highlight w:val="none"/>
        </w:rPr>
      </w:pPr>
      <w:r>
        <w:rPr>
          <w:rFonts w:hint="eastAsia" w:ascii="宋体" w:hAnsi="宋体" w:cs="Courier New"/>
          <w:b/>
          <w:color w:val="auto"/>
          <w:sz w:val="21"/>
          <w:szCs w:val="21"/>
          <w:highlight w:val="none"/>
        </w:rPr>
        <w:t>十二、不可抗力事件处理</w:t>
      </w:r>
    </w:p>
    <w:p w14:paraId="634E3605">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12.1在合同有效期内，任何一方因不可抗力事件导致不能履行合同，则合同履行期可延长，其延长期与不可抗力影响期相同。</w:t>
      </w:r>
    </w:p>
    <w:p w14:paraId="56628795">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12.2不可抗力事件发生后，应立即通知对方，并寄送有关权威机构出具的证明。</w:t>
      </w:r>
    </w:p>
    <w:p w14:paraId="4F76FBB7">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12.3不可抗力事件延续120天以上，双方应通过友好协商，确定是否继续履行合同。</w:t>
      </w:r>
    </w:p>
    <w:p w14:paraId="29DAA86F">
      <w:pPr>
        <w:pStyle w:val="55"/>
        <w:spacing w:line="300" w:lineRule="auto"/>
        <w:rPr>
          <w:rFonts w:ascii="宋体" w:hAnsi="宋体" w:cs="Courier New"/>
          <w:b/>
          <w:color w:val="auto"/>
          <w:sz w:val="21"/>
          <w:szCs w:val="21"/>
          <w:highlight w:val="none"/>
        </w:rPr>
      </w:pPr>
      <w:r>
        <w:rPr>
          <w:rFonts w:hint="eastAsia" w:ascii="宋体" w:hAnsi="宋体" w:cs="Courier New"/>
          <w:b/>
          <w:color w:val="auto"/>
          <w:sz w:val="21"/>
          <w:szCs w:val="21"/>
          <w:highlight w:val="none"/>
        </w:rPr>
        <w:t>十三、解决争议的方法</w:t>
      </w:r>
    </w:p>
    <w:p w14:paraId="6CA17336">
      <w:pPr>
        <w:pStyle w:val="55"/>
        <w:spacing w:line="300" w:lineRule="auto"/>
        <w:ind w:firstLine="420" w:firstLineChars="200"/>
        <w:rPr>
          <w:rFonts w:ascii="宋体" w:hAnsi="宋体" w:cs="Courier New"/>
          <w:color w:val="auto"/>
          <w:sz w:val="21"/>
          <w:szCs w:val="21"/>
          <w:highlight w:val="none"/>
        </w:rPr>
      </w:pPr>
      <w:r>
        <w:rPr>
          <w:rFonts w:hint="eastAsia" w:ascii="宋体" w:hAnsi="宋体" w:cs="Courier New"/>
          <w:color w:val="auto"/>
          <w:sz w:val="21"/>
          <w:szCs w:val="21"/>
          <w:highlight w:val="none"/>
        </w:rPr>
        <w:t>合同履行过程中发生争议，双方应友好协商，协商不成的，双方均有权向南京仲裁委员会申请仲裁裁决，仲裁产生的仲裁费、鉴定费、保全费、担保费、律师费等合理支出由违约方承担。</w:t>
      </w:r>
    </w:p>
    <w:p w14:paraId="1C352140">
      <w:pPr>
        <w:pStyle w:val="55"/>
        <w:spacing w:line="300" w:lineRule="auto"/>
        <w:rPr>
          <w:rFonts w:ascii="宋体" w:hAnsi="宋体" w:cs="Courier New"/>
          <w:b/>
          <w:color w:val="auto"/>
          <w:sz w:val="21"/>
          <w:szCs w:val="21"/>
          <w:highlight w:val="none"/>
        </w:rPr>
      </w:pPr>
      <w:r>
        <w:rPr>
          <w:rFonts w:hint="eastAsia" w:ascii="宋体" w:hAnsi="宋体" w:cs="Courier New"/>
          <w:b/>
          <w:color w:val="auto"/>
          <w:sz w:val="21"/>
          <w:szCs w:val="21"/>
          <w:highlight w:val="none"/>
        </w:rPr>
        <w:t>十四、合同生效及其它</w:t>
      </w:r>
    </w:p>
    <w:p w14:paraId="15831048">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14.1 合同经双方法定代表人或授权委托代表人签字并加盖单位公章后生效。</w:t>
      </w:r>
    </w:p>
    <w:p w14:paraId="533A1435">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14.2本合同未尽事宜，遵照《民法典》、《政府采购法》有关条文执行。</w:t>
      </w:r>
    </w:p>
    <w:p w14:paraId="66B529F9">
      <w:pPr>
        <w:spacing w:line="276"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14.3 本合同正本一式四份，具有同等法律效力，甲方、乙方各执二份。</w:t>
      </w:r>
    </w:p>
    <w:p w14:paraId="4125F5BE">
      <w:pPr>
        <w:pStyle w:val="55"/>
        <w:spacing w:line="300" w:lineRule="auto"/>
        <w:rPr>
          <w:rFonts w:hAnsi="宋体"/>
          <w:b/>
          <w:color w:val="auto"/>
          <w:sz w:val="21"/>
          <w:szCs w:val="21"/>
          <w:highlight w:val="none"/>
        </w:rPr>
      </w:pPr>
      <w:r>
        <w:rPr>
          <w:rFonts w:hint="eastAsia" w:ascii="宋体" w:hAnsi="宋体" w:cs="Courier New"/>
          <w:b/>
          <w:color w:val="auto"/>
          <w:sz w:val="21"/>
          <w:szCs w:val="21"/>
          <w:highlight w:val="none"/>
        </w:rPr>
        <w:t>十五、</w:t>
      </w:r>
      <w:r>
        <w:rPr>
          <w:rFonts w:hint="eastAsia" w:hAnsi="宋体"/>
          <w:b/>
          <w:color w:val="auto"/>
          <w:sz w:val="21"/>
          <w:szCs w:val="21"/>
          <w:highlight w:val="none"/>
        </w:rPr>
        <w:t>合同附件</w:t>
      </w:r>
    </w:p>
    <w:p w14:paraId="535A255A">
      <w:pPr>
        <w:spacing w:line="276" w:lineRule="auto"/>
        <w:ind w:firstLine="420" w:firstLineChars="200"/>
        <w:jc w:val="left"/>
        <w:rPr>
          <w:rFonts w:hAnsi="宋体"/>
          <w:color w:val="auto"/>
          <w:sz w:val="21"/>
          <w:szCs w:val="21"/>
          <w:highlight w:val="none"/>
        </w:rPr>
      </w:pPr>
      <w:r>
        <w:rPr>
          <w:rFonts w:ascii="Arial" w:hAnsi="Arial" w:cs="Arial"/>
          <w:color w:val="auto"/>
          <w:kern w:val="0"/>
          <w:sz w:val="21"/>
          <w:szCs w:val="21"/>
          <w:highlight w:val="none"/>
        </w:rPr>
        <w:t>采购文件、成交通知书、乙方的</w:t>
      </w:r>
      <w:r>
        <w:rPr>
          <w:rFonts w:hint="eastAsia" w:ascii="Arial" w:hAnsi="Arial" w:cs="Arial"/>
          <w:color w:val="auto"/>
          <w:kern w:val="0"/>
          <w:sz w:val="21"/>
          <w:szCs w:val="21"/>
          <w:highlight w:val="none"/>
          <w:lang w:eastAsia="zh-CN"/>
        </w:rPr>
        <w:t>投标文件</w:t>
      </w:r>
      <w:r>
        <w:rPr>
          <w:rFonts w:ascii="Arial" w:hAnsi="Arial" w:cs="Arial"/>
          <w:color w:val="auto"/>
          <w:kern w:val="0"/>
          <w:sz w:val="21"/>
          <w:szCs w:val="21"/>
          <w:highlight w:val="none"/>
        </w:rPr>
        <w:t>及投标承诺书是签订本合同的依据，本合同未尽事项首先依据采购文件、成交（成交）通知书、乙方的</w:t>
      </w:r>
      <w:r>
        <w:rPr>
          <w:rFonts w:hint="eastAsia" w:ascii="Arial" w:hAnsi="Arial" w:cs="Arial"/>
          <w:color w:val="auto"/>
          <w:kern w:val="0"/>
          <w:sz w:val="21"/>
          <w:szCs w:val="21"/>
          <w:highlight w:val="none"/>
          <w:lang w:eastAsia="zh-CN"/>
        </w:rPr>
        <w:t>投标文件</w:t>
      </w:r>
      <w:r>
        <w:rPr>
          <w:rFonts w:ascii="Arial" w:hAnsi="Arial" w:cs="Arial"/>
          <w:color w:val="auto"/>
          <w:kern w:val="0"/>
          <w:sz w:val="21"/>
          <w:szCs w:val="21"/>
          <w:highlight w:val="none"/>
        </w:rPr>
        <w:t>及投标承诺书进行履行，双方也可以在不违背本合同实质性内容的基础上达成补充协议，补充协议与本合同具有相同的法律效力。</w:t>
      </w:r>
    </w:p>
    <w:p w14:paraId="02C926F2">
      <w:pPr>
        <w:pStyle w:val="55"/>
        <w:spacing w:line="300" w:lineRule="auto"/>
        <w:rPr>
          <w:rFonts w:hAnsi="宋体"/>
          <w:b/>
          <w:color w:val="auto"/>
          <w:sz w:val="21"/>
          <w:szCs w:val="21"/>
          <w:highlight w:val="none"/>
        </w:rPr>
      </w:pPr>
      <w:r>
        <w:rPr>
          <w:rFonts w:hint="eastAsia" w:hAnsi="宋体"/>
          <w:b/>
          <w:color w:val="auto"/>
          <w:sz w:val="21"/>
          <w:szCs w:val="21"/>
          <w:highlight w:val="none"/>
        </w:rPr>
        <w:t>十六、诚实信用和廉洁条款</w:t>
      </w:r>
    </w:p>
    <w:p w14:paraId="05820C2B">
      <w:pPr>
        <w:pStyle w:val="55"/>
        <w:spacing w:line="300" w:lineRule="auto"/>
        <w:ind w:firstLine="420" w:firstLineChars="200"/>
        <w:rPr>
          <w:rFonts w:hAnsi="宋体"/>
          <w:color w:val="auto"/>
          <w:sz w:val="21"/>
          <w:szCs w:val="21"/>
          <w:highlight w:val="none"/>
        </w:rPr>
      </w:pPr>
      <w:r>
        <w:rPr>
          <w:rFonts w:hint="eastAsia" w:hAnsi="宋体"/>
          <w:color w:val="auto"/>
          <w:sz w:val="21"/>
          <w:szCs w:val="21"/>
          <w:highlight w:val="none"/>
        </w:rPr>
        <w:t>合同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协议。</w:t>
      </w:r>
    </w:p>
    <w:p w14:paraId="74EC8D9C">
      <w:pPr>
        <w:pStyle w:val="55"/>
        <w:spacing w:line="300" w:lineRule="auto"/>
        <w:rPr>
          <w:rFonts w:hAnsi="宋体"/>
          <w:b/>
          <w:color w:val="auto"/>
          <w:sz w:val="21"/>
          <w:szCs w:val="21"/>
          <w:highlight w:val="none"/>
        </w:rPr>
      </w:pPr>
      <w:r>
        <w:rPr>
          <w:rFonts w:hint="eastAsia" w:hAnsi="宋体"/>
          <w:b/>
          <w:color w:val="auto"/>
          <w:sz w:val="21"/>
          <w:szCs w:val="21"/>
          <w:highlight w:val="none"/>
        </w:rPr>
        <w:t>十七、送达条款</w:t>
      </w:r>
    </w:p>
    <w:p w14:paraId="4BF05499">
      <w:pPr>
        <w:pStyle w:val="55"/>
        <w:spacing w:line="300" w:lineRule="auto"/>
        <w:ind w:firstLine="420" w:firstLineChars="200"/>
        <w:rPr>
          <w:rFonts w:hAnsi="宋体"/>
          <w:color w:val="auto"/>
          <w:sz w:val="21"/>
          <w:szCs w:val="21"/>
          <w:highlight w:val="none"/>
        </w:rPr>
      </w:pPr>
      <w:r>
        <w:rPr>
          <w:rFonts w:hint="eastAsia" w:hAnsi="宋体"/>
          <w:color w:val="auto"/>
          <w:sz w:val="21"/>
          <w:szCs w:val="21"/>
          <w:highlight w:val="none"/>
        </w:rPr>
        <w:t>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p>
    <w:p w14:paraId="15A952DD">
      <w:pPr>
        <w:pStyle w:val="55"/>
        <w:spacing w:line="300" w:lineRule="auto"/>
        <w:rPr>
          <w:rFonts w:hAnsi="宋体"/>
          <w:b/>
          <w:color w:val="auto"/>
          <w:sz w:val="21"/>
          <w:szCs w:val="21"/>
          <w:highlight w:val="none"/>
        </w:rPr>
      </w:pPr>
      <w:r>
        <w:rPr>
          <w:rFonts w:hint="eastAsia" w:hAnsi="宋体"/>
          <w:b/>
          <w:color w:val="auto"/>
          <w:sz w:val="21"/>
          <w:szCs w:val="21"/>
          <w:highlight w:val="none"/>
        </w:rPr>
        <w:t>十八、保密条款</w:t>
      </w:r>
    </w:p>
    <w:p w14:paraId="0F6B63ED">
      <w:pPr>
        <w:pStyle w:val="55"/>
        <w:spacing w:line="300" w:lineRule="auto"/>
        <w:ind w:firstLine="420" w:firstLineChars="200"/>
        <w:rPr>
          <w:rFonts w:hAnsi="宋体"/>
          <w:color w:val="auto"/>
          <w:sz w:val="21"/>
          <w:szCs w:val="21"/>
          <w:highlight w:val="none"/>
        </w:rPr>
      </w:pPr>
      <w:r>
        <w:rPr>
          <w:rFonts w:hint="eastAsia" w:hAnsi="宋体"/>
          <w:color w:val="auto"/>
          <w:sz w:val="21"/>
          <w:szCs w:val="21"/>
          <w:highlight w:val="none"/>
        </w:rPr>
        <w:t>双方应当对合同的内容、因履行协议期间获得的或收到的对方的商务、财务、技术、产品的信息、用户资料或其他标明保密的文件或信息的内容保守秘密，未经信息披露方书面事先同意，不得向协议以外的任何第三方披露。双方均不得将协议中的内容及在协议执行过程中获得的对方的商业信息向任何第三方泄露。本保密义务应在本协议期满、解除或终止后仍然有效。</w:t>
      </w:r>
    </w:p>
    <w:p w14:paraId="713CE52F">
      <w:pPr>
        <w:pStyle w:val="55"/>
        <w:spacing w:line="300" w:lineRule="auto"/>
        <w:rPr>
          <w:rFonts w:hAnsi="宋体"/>
          <w:b/>
          <w:color w:val="auto"/>
          <w:sz w:val="21"/>
          <w:szCs w:val="21"/>
          <w:highlight w:val="none"/>
        </w:rPr>
      </w:pPr>
      <w:r>
        <w:rPr>
          <w:rFonts w:hint="eastAsia" w:hAnsi="宋体"/>
          <w:b/>
          <w:color w:val="auto"/>
          <w:sz w:val="21"/>
          <w:szCs w:val="21"/>
          <w:highlight w:val="none"/>
        </w:rPr>
        <w:t>十九、其他</w:t>
      </w:r>
    </w:p>
    <w:p w14:paraId="24274B3D">
      <w:pPr>
        <w:pStyle w:val="55"/>
        <w:spacing w:line="300" w:lineRule="auto"/>
        <w:ind w:firstLine="420" w:firstLineChars="200"/>
        <w:rPr>
          <w:rFonts w:hint="eastAsia" w:hAnsi="宋体" w:eastAsia="宋体"/>
          <w:color w:val="auto"/>
          <w:sz w:val="21"/>
          <w:szCs w:val="21"/>
          <w:highlight w:val="none"/>
        </w:rPr>
      </w:pPr>
      <w:r>
        <w:rPr>
          <w:rFonts w:hint="eastAsia" w:hAnsi="宋体" w:eastAsia="宋体"/>
          <w:color w:val="auto"/>
          <w:sz w:val="21"/>
          <w:szCs w:val="21"/>
          <w:highlight w:val="none"/>
        </w:rPr>
        <w:t>19.1合同权利义务的转让条款：合同履行过程中，乙方未经甲方书面同意，不得将合同权利义务转让给第三方。</w:t>
      </w:r>
    </w:p>
    <w:p w14:paraId="6DDEE8CC">
      <w:pPr>
        <w:pStyle w:val="55"/>
        <w:spacing w:line="300" w:lineRule="auto"/>
        <w:ind w:firstLine="420" w:firstLineChars="200"/>
        <w:rPr>
          <w:rFonts w:hint="eastAsia" w:hAnsi="宋体" w:eastAsia="宋体"/>
          <w:color w:val="auto"/>
          <w:sz w:val="21"/>
          <w:szCs w:val="21"/>
          <w:highlight w:val="none"/>
        </w:rPr>
      </w:pPr>
      <w:r>
        <w:rPr>
          <w:rFonts w:hint="eastAsia" w:hAnsi="宋体" w:eastAsia="宋体"/>
          <w:color w:val="auto"/>
          <w:sz w:val="21"/>
          <w:szCs w:val="21"/>
          <w:highlight w:val="none"/>
        </w:rPr>
        <w:t>19.2货物、服务的购买或租赁权利瑕疵条款：乙方应保证提供的货物、设备或服务不存在所有权、抵押权、使用权、知识产权等权利瑕疵。</w:t>
      </w:r>
    </w:p>
    <w:p w14:paraId="5EDE1B05">
      <w:pPr>
        <w:spacing w:line="276" w:lineRule="auto"/>
        <w:jc w:val="left"/>
        <w:rPr>
          <w:rFonts w:hAnsi="宋体"/>
          <w:color w:val="auto"/>
          <w:sz w:val="21"/>
          <w:szCs w:val="21"/>
          <w:highlight w:val="none"/>
        </w:rPr>
      </w:pPr>
    </w:p>
    <w:p w14:paraId="6B5F9345">
      <w:pPr>
        <w:spacing w:line="276" w:lineRule="auto"/>
        <w:jc w:val="left"/>
        <w:rPr>
          <w:rFonts w:ascii="宋体" w:hAnsi="宋体" w:cs="Microsoft New Tai Lue"/>
          <w:color w:val="auto"/>
          <w:sz w:val="21"/>
          <w:szCs w:val="21"/>
          <w:highlight w:val="none"/>
        </w:rPr>
      </w:pPr>
      <w:r>
        <w:rPr>
          <w:rFonts w:hint="eastAsia" w:ascii="宋体" w:hAnsi="宋体" w:cs="宋体"/>
          <w:color w:val="auto"/>
          <w:sz w:val="21"/>
          <w:szCs w:val="21"/>
          <w:highlight w:val="none"/>
        </w:rPr>
        <w:t>（以下无正文）</w:t>
      </w:r>
    </w:p>
    <w:tbl>
      <w:tblPr>
        <w:tblStyle w:val="38"/>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6"/>
        <w:gridCol w:w="4684"/>
      </w:tblGrid>
      <w:tr w14:paraId="2FC0F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4946" w:type="dxa"/>
            <w:noWrap w:val="0"/>
            <w:vAlign w:val="top"/>
          </w:tcPr>
          <w:p w14:paraId="4A0D3056">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甲方（盖章）：</w:t>
            </w:r>
          </w:p>
          <w:p w14:paraId="222F847F">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单位名称： </w:t>
            </w:r>
          </w:p>
          <w:p w14:paraId="01F2FE29">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单位地址： </w:t>
            </w:r>
          </w:p>
          <w:p w14:paraId="734B8EDA">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法定代表人：</w:t>
            </w:r>
          </w:p>
          <w:p w14:paraId="1EF3A7BB">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委托代理人（签字）：</w:t>
            </w:r>
          </w:p>
          <w:p w14:paraId="28588033">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联系方式：</w:t>
            </w:r>
          </w:p>
          <w:p w14:paraId="02446ED8">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p>
          <w:p w14:paraId="38FFCC60">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p>
          <w:p w14:paraId="2AA5C582">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签订日期：  年  月  日</w:t>
            </w:r>
          </w:p>
        </w:tc>
        <w:tc>
          <w:tcPr>
            <w:tcW w:w="4684" w:type="dxa"/>
            <w:noWrap w:val="0"/>
            <w:vAlign w:val="top"/>
          </w:tcPr>
          <w:p w14:paraId="49F6CAB2">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乙方（盖章）：</w:t>
            </w:r>
          </w:p>
          <w:p w14:paraId="22B85406">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单位名称：</w:t>
            </w:r>
          </w:p>
          <w:p w14:paraId="02844812">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单位地址：</w:t>
            </w:r>
          </w:p>
          <w:p w14:paraId="5DE355A7">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法定代表人：</w:t>
            </w:r>
          </w:p>
          <w:p w14:paraId="5D7FB251">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委托代理人（签字）：</w:t>
            </w:r>
          </w:p>
          <w:p w14:paraId="3B313691">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电话：</w:t>
            </w:r>
          </w:p>
          <w:p w14:paraId="1E4B8129">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传真：</w:t>
            </w:r>
          </w:p>
          <w:p w14:paraId="121D828B">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开户银行：</w:t>
            </w:r>
          </w:p>
          <w:p w14:paraId="51A6C645">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帐号：</w:t>
            </w:r>
          </w:p>
          <w:p w14:paraId="5019920F">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税号：</w:t>
            </w:r>
          </w:p>
          <w:p w14:paraId="18CD6F85">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ascii="宋体" w:hAnsi="宋体" w:cs="宋体"/>
                <w:color w:val="auto"/>
                <w:szCs w:val="21"/>
                <w:highlight w:val="none"/>
              </w:rPr>
            </w:pPr>
            <w:r>
              <w:rPr>
                <w:rFonts w:hint="eastAsia" w:ascii="宋体" w:hAnsi="宋体" w:cs="宋体"/>
                <w:color w:val="auto"/>
                <w:szCs w:val="21"/>
                <w:highlight w:val="none"/>
              </w:rPr>
              <w:t>签订日期：  年  月  日</w:t>
            </w:r>
          </w:p>
        </w:tc>
      </w:tr>
    </w:tbl>
    <w:p w14:paraId="690AD24F">
      <w:pPr>
        <w:spacing w:line="300" w:lineRule="auto"/>
        <w:jc w:val="left"/>
        <w:rPr>
          <w:rFonts w:hint="eastAsia" w:ascii="宋体" w:hAnsi="宋体" w:cs="Microsoft New Tai Lue"/>
          <w:color w:val="auto"/>
          <w:szCs w:val="21"/>
          <w:highlight w:val="none"/>
        </w:rPr>
      </w:pPr>
    </w:p>
    <w:p w14:paraId="3E070DA8">
      <w:pPr>
        <w:pStyle w:val="205"/>
        <w:spacing w:before="120" w:after="120" w:line="360" w:lineRule="auto"/>
        <w:ind w:firstLine="210"/>
        <w:rPr>
          <w:rFonts w:hAnsi="宋体"/>
          <w:color w:val="auto"/>
          <w:sz w:val="21"/>
          <w:highlight w:val="none"/>
        </w:rPr>
      </w:pPr>
    </w:p>
    <w:p w14:paraId="1B160689">
      <w:pPr>
        <w:rPr>
          <w:rFonts w:ascii="宋体" w:hAnsi="宋体"/>
          <w:color w:val="auto"/>
          <w:highlight w:val="none"/>
        </w:rPr>
      </w:pPr>
      <w:r>
        <w:rPr>
          <w:rFonts w:hint="eastAsia" w:ascii="宋体" w:hAnsi="宋体"/>
          <w:color w:val="auto"/>
          <w:highlight w:val="none"/>
        </w:rPr>
        <w:br w:type="page" w:clear="all"/>
      </w:r>
    </w:p>
    <w:bookmarkEnd w:id="60"/>
    <w:p w14:paraId="739D1640">
      <w:pPr>
        <w:pStyle w:val="2"/>
        <w:keepNext/>
        <w:keepLines/>
        <w:pageBreakBefore w:val="0"/>
        <w:widowControl w:val="0"/>
        <w:kinsoku/>
        <w:wordWrap/>
        <w:overflowPunct/>
        <w:topLinePunct w:val="0"/>
        <w:autoSpaceDE/>
        <w:autoSpaceDN/>
        <w:bidi w:val="0"/>
        <w:adjustRightInd w:val="0"/>
        <w:snapToGrid w:val="0"/>
        <w:spacing w:before="0" w:after="0" w:line="440" w:lineRule="exact"/>
        <w:jc w:val="center"/>
        <w:textAlignment w:val="auto"/>
        <w:rPr>
          <w:rFonts w:hint="eastAsia" w:ascii="宋体" w:hAnsi="宋体" w:eastAsia="宋体" w:cs="宋体"/>
          <w:b/>
          <w:bCs/>
          <w:color w:val="auto"/>
          <w:sz w:val="28"/>
          <w:szCs w:val="28"/>
          <w:highlight w:val="none"/>
        </w:rPr>
      </w:pPr>
      <w:bookmarkStart w:id="63" w:name="_Toc787"/>
      <w:bookmarkStart w:id="64" w:name="_Toc30090"/>
      <w:r>
        <w:rPr>
          <w:rFonts w:hint="eastAsia" w:ascii="宋体" w:hAnsi="宋体" w:eastAsia="宋体" w:cs="宋体"/>
          <w:b/>
          <w:bCs/>
          <w:color w:val="auto"/>
          <w:sz w:val="28"/>
          <w:szCs w:val="28"/>
          <w:highlight w:val="none"/>
          <w:lang w:val="en-US" w:eastAsia="zh-CN"/>
        </w:rPr>
        <w:t xml:space="preserve">第四章 </w:t>
      </w:r>
      <w:r>
        <w:rPr>
          <w:rFonts w:hint="eastAsia" w:ascii="宋体" w:hAnsi="宋体" w:eastAsia="宋体" w:cs="宋体"/>
          <w:b/>
          <w:bCs/>
          <w:color w:val="auto"/>
          <w:sz w:val="28"/>
          <w:szCs w:val="28"/>
          <w:highlight w:val="none"/>
        </w:rPr>
        <w:t>项目需求</w:t>
      </w:r>
      <w:bookmarkEnd w:id="63"/>
      <w:bookmarkEnd w:id="64"/>
    </w:p>
    <w:p w14:paraId="5CEEEC3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bCs/>
          <w:color w:val="auto"/>
          <w:sz w:val="21"/>
          <w:szCs w:val="21"/>
          <w:highlight w:val="none"/>
        </w:rPr>
      </w:pPr>
    </w:p>
    <w:p w14:paraId="1E7BAD3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一、</w:t>
      </w:r>
      <w:r>
        <w:rPr>
          <w:rFonts w:hint="eastAsia" w:ascii="宋体" w:hAnsi="宋体" w:cs="宋体"/>
          <w:b/>
          <w:bCs/>
          <w:color w:val="auto"/>
          <w:sz w:val="21"/>
          <w:szCs w:val="21"/>
          <w:highlight w:val="none"/>
          <w:lang w:val="en-US" w:eastAsia="zh-CN"/>
        </w:rPr>
        <w:t>采购清单</w:t>
      </w:r>
      <w:r>
        <w:rPr>
          <w:rFonts w:hint="eastAsia" w:ascii="宋体" w:hAnsi="宋体" w:cs="宋体"/>
          <w:b/>
          <w:bCs/>
          <w:color w:val="auto"/>
          <w:sz w:val="21"/>
          <w:szCs w:val="21"/>
          <w:highlight w:val="none"/>
        </w:rPr>
        <w:t>：</w:t>
      </w:r>
    </w:p>
    <w:tbl>
      <w:tblPr>
        <w:tblStyle w:val="38"/>
        <w:tblW w:w="47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85"/>
        <w:gridCol w:w="2120"/>
        <w:gridCol w:w="854"/>
        <w:gridCol w:w="1257"/>
        <w:gridCol w:w="1548"/>
        <w:gridCol w:w="1911"/>
        <w:gridCol w:w="650"/>
      </w:tblGrid>
      <w:tr w14:paraId="6E7B3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328" w:type="pct"/>
            <w:noWrap w:val="0"/>
            <w:tcMar>
              <w:top w:w="0" w:type="dxa"/>
              <w:left w:w="108" w:type="dxa"/>
              <w:bottom w:w="0" w:type="dxa"/>
              <w:right w:w="108" w:type="dxa"/>
            </w:tcMar>
            <w:vAlign w:val="center"/>
          </w:tcPr>
          <w:p w14:paraId="28C672E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Cs w:val="21"/>
                <w:highlight w:val="none"/>
              </w:rPr>
            </w:pPr>
            <w:r>
              <w:rPr>
                <w:rFonts w:ascii="宋体" w:hAnsi="宋体" w:cs="宋体"/>
                <w:color w:val="auto"/>
                <w:szCs w:val="21"/>
                <w:highlight w:val="none"/>
              </w:rPr>
              <w:t>包号</w:t>
            </w:r>
          </w:p>
        </w:tc>
        <w:tc>
          <w:tcPr>
            <w:tcW w:w="1187" w:type="pct"/>
            <w:noWrap w:val="0"/>
            <w:tcMar>
              <w:top w:w="0" w:type="dxa"/>
              <w:left w:w="108" w:type="dxa"/>
              <w:bottom w:w="0" w:type="dxa"/>
              <w:right w:w="108" w:type="dxa"/>
            </w:tcMar>
            <w:vAlign w:val="center"/>
          </w:tcPr>
          <w:p w14:paraId="200F43B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Cs w:val="21"/>
                <w:highlight w:val="none"/>
              </w:rPr>
            </w:pPr>
            <w:r>
              <w:rPr>
                <w:rFonts w:hint="eastAsia" w:ascii="宋体" w:hAnsi="宋体" w:cs="宋体"/>
                <w:color w:val="auto"/>
                <w:szCs w:val="21"/>
                <w:highlight w:val="none"/>
                <w:lang w:val="en-US" w:eastAsia="zh-CN"/>
              </w:rPr>
              <w:t>标的</w:t>
            </w:r>
            <w:r>
              <w:rPr>
                <w:rFonts w:ascii="宋体" w:hAnsi="宋体" w:cs="宋体"/>
                <w:color w:val="auto"/>
                <w:szCs w:val="21"/>
                <w:highlight w:val="none"/>
              </w:rPr>
              <w:t>名称</w:t>
            </w:r>
          </w:p>
        </w:tc>
        <w:tc>
          <w:tcPr>
            <w:tcW w:w="478" w:type="pct"/>
            <w:noWrap w:val="0"/>
            <w:tcMar>
              <w:top w:w="0" w:type="dxa"/>
              <w:left w:w="108" w:type="dxa"/>
              <w:bottom w:w="0" w:type="dxa"/>
              <w:right w:w="108" w:type="dxa"/>
            </w:tcMar>
            <w:vAlign w:val="center"/>
          </w:tcPr>
          <w:p w14:paraId="76F5B36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Cs w:val="21"/>
                <w:highlight w:val="none"/>
              </w:rPr>
            </w:pPr>
            <w:r>
              <w:rPr>
                <w:rFonts w:ascii="宋体" w:hAnsi="宋体" w:cs="宋体"/>
                <w:color w:val="auto"/>
                <w:szCs w:val="21"/>
                <w:highlight w:val="none"/>
              </w:rPr>
              <w:t>数量</w:t>
            </w:r>
          </w:p>
        </w:tc>
        <w:tc>
          <w:tcPr>
            <w:tcW w:w="704" w:type="pct"/>
            <w:noWrap w:val="0"/>
            <w:tcMar>
              <w:top w:w="0" w:type="dxa"/>
              <w:left w:w="108" w:type="dxa"/>
              <w:bottom w:w="0" w:type="dxa"/>
              <w:right w:w="108" w:type="dxa"/>
            </w:tcMar>
            <w:vAlign w:val="center"/>
          </w:tcPr>
          <w:p w14:paraId="5121CB2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Cs w:val="21"/>
                <w:highlight w:val="none"/>
              </w:rPr>
            </w:pPr>
            <w:r>
              <w:rPr>
                <w:rFonts w:ascii="宋体" w:hAnsi="宋体" w:cs="宋体"/>
                <w:color w:val="auto"/>
                <w:szCs w:val="21"/>
                <w:highlight w:val="none"/>
              </w:rPr>
              <w:t>预算金额（万元）</w:t>
            </w:r>
          </w:p>
        </w:tc>
        <w:tc>
          <w:tcPr>
            <w:tcW w:w="867" w:type="pct"/>
            <w:noWrap w:val="0"/>
            <w:vAlign w:val="center"/>
          </w:tcPr>
          <w:p w14:paraId="56EEBC9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color w:val="auto"/>
                <w:highlight w:val="none"/>
              </w:rPr>
            </w:pPr>
            <w:r>
              <w:rPr>
                <w:rFonts w:hint="eastAsia" w:ascii="宋体" w:hAnsi="宋体" w:cs="宋体"/>
                <w:color w:val="auto"/>
                <w:highlight w:val="none"/>
              </w:rPr>
              <w:t>最高限价</w:t>
            </w:r>
          </w:p>
          <w:p w14:paraId="3056528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color w:val="auto"/>
                <w:szCs w:val="21"/>
                <w:highlight w:val="none"/>
              </w:rPr>
            </w:pPr>
            <w:r>
              <w:rPr>
                <w:rFonts w:hint="eastAsia" w:ascii="宋体" w:hAnsi="宋体" w:cs="宋体"/>
                <w:color w:val="auto"/>
                <w:highlight w:val="none"/>
              </w:rPr>
              <w:t>（万元）</w:t>
            </w:r>
          </w:p>
        </w:tc>
        <w:tc>
          <w:tcPr>
            <w:tcW w:w="1070" w:type="pct"/>
            <w:noWrap w:val="0"/>
            <w:tcMar>
              <w:top w:w="0" w:type="dxa"/>
              <w:left w:w="108" w:type="dxa"/>
              <w:bottom w:w="0" w:type="dxa"/>
              <w:right w:w="108" w:type="dxa"/>
            </w:tcMar>
            <w:vAlign w:val="center"/>
          </w:tcPr>
          <w:p w14:paraId="7BEB7D3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Cs w:val="21"/>
                <w:highlight w:val="none"/>
              </w:rPr>
            </w:pPr>
            <w:r>
              <w:rPr>
                <w:rFonts w:ascii="宋体" w:hAnsi="宋体" w:cs="宋体"/>
                <w:color w:val="auto"/>
                <w:szCs w:val="21"/>
                <w:highlight w:val="none"/>
              </w:rPr>
              <w:t>是否接受进口产品</w:t>
            </w:r>
          </w:p>
        </w:tc>
        <w:tc>
          <w:tcPr>
            <w:tcW w:w="364" w:type="pct"/>
            <w:noWrap w:val="0"/>
            <w:vAlign w:val="center"/>
          </w:tcPr>
          <w:p w14:paraId="451A958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备注</w:t>
            </w:r>
          </w:p>
        </w:tc>
      </w:tr>
      <w:tr w14:paraId="603E6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28" w:type="pct"/>
            <w:noWrap w:val="0"/>
            <w:tcMar>
              <w:top w:w="0" w:type="dxa"/>
              <w:left w:w="108" w:type="dxa"/>
              <w:bottom w:w="0" w:type="dxa"/>
              <w:right w:w="108" w:type="dxa"/>
            </w:tcMar>
            <w:vAlign w:val="center"/>
          </w:tcPr>
          <w:p w14:paraId="497D845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highlight w:val="none"/>
              </w:rPr>
            </w:pPr>
            <w:r>
              <w:rPr>
                <w:rFonts w:ascii="宋体" w:hAnsi="宋体" w:cs="宋体"/>
                <w:color w:val="auto"/>
                <w:highlight w:val="none"/>
              </w:rPr>
              <w:t>1</w:t>
            </w:r>
          </w:p>
        </w:tc>
        <w:tc>
          <w:tcPr>
            <w:tcW w:w="1187" w:type="pct"/>
            <w:noWrap w:val="0"/>
            <w:tcMar>
              <w:top w:w="0" w:type="dxa"/>
              <w:left w:w="108" w:type="dxa"/>
              <w:bottom w:w="0" w:type="dxa"/>
              <w:right w:w="108" w:type="dxa"/>
            </w:tcMar>
            <w:vAlign w:val="center"/>
          </w:tcPr>
          <w:p w14:paraId="4205463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光学相干断层扫描仪</w:t>
            </w:r>
          </w:p>
        </w:tc>
        <w:tc>
          <w:tcPr>
            <w:tcW w:w="478" w:type="pct"/>
            <w:noWrap w:val="0"/>
            <w:tcMar>
              <w:top w:w="0" w:type="dxa"/>
              <w:left w:w="108" w:type="dxa"/>
              <w:bottom w:w="0" w:type="dxa"/>
              <w:right w:w="108" w:type="dxa"/>
            </w:tcMar>
            <w:vAlign w:val="center"/>
          </w:tcPr>
          <w:p w14:paraId="1F7EA82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highlight w:val="none"/>
              </w:rPr>
            </w:pPr>
            <w:r>
              <w:rPr>
                <w:rFonts w:hint="eastAsia" w:ascii="宋体" w:hAnsi="宋体" w:cs="宋体"/>
                <w:color w:val="auto"/>
                <w:highlight w:val="none"/>
              </w:rPr>
              <w:t>1套</w:t>
            </w:r>
          </w:p>
        </w:tc>
        <w:tc>
          <w:tcPr>
            <w:tcW w:w="704" w:type="pct"/>
            <w:noWrap w:val="0"/>
            <w:tcMar>
              <w:top w:w="0" w:type="dxa"/>
              <w:left w:w="108" w:type="dxa"/>
              <w:bottom w:w="0" w:type="dxa"/>
              <w:right w:w="108" w:type="dxa"/>
            </w:tcMar>
            <w:vAlign w:val="center"/>
          </w:tcPr>
          <w:p w14:paraId="6887EA4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150</w:t>
            </w:r>
          </w:p>
        </w:tc>
        <w:tc>
          <w:tcPr>
            <w:tcW w:w="867" w:type="pct"/>
            <w:noWrap w:val="0"/>
            <w:vAlign w:val="center"/>
          </w:tcPr>
          <w:p w14:paraId="2FE97C5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highlight w:val="none"/>
              </w:rPr>
            </w:pPr>
            <w:r>
              <w:rPr>
                <w:rFonts w:hint="eastAsia" w:ascii="宋体" w:hAnsi="宋体" w:cs="宋体"/>
                <w:color w:val="auto"/>
                <w:highlight w:val="none"/>
                <w:lang w:val="en-US" w:eastAsia="zh-CN"/>
              </w:rPr>
              <w:t>150</w:t>
            </w:r>
          </w:p>
        </w:tc>
        <w:tc>
          <w:tcPr>
            <w:tcW w:w="1070" w:type="pct"/>
            <w:noWrap w:val="0"/>
            <w:tcMar>
              <w:top w:w="0" w:type="dxa"/>
              <w:left w:w="108" w:type="dxa"/>
              <w:bottom w:w="0" w:type="dxa"/>
              <w:right w:w="108" w:type="dxa"/>
            </w:tcMar>
            <w:vAlign w:val="center"/>
          </w:tcPr>
          <w:p w14:paraId="6072B3D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highlight w:val="none"/>
              </w:rPr>
            </w:pPr>
            <w:r>
              <w:rPr>
                <w:rFonts w:hint="eastAsia" w:ascii="宋体" w:hAnsi="宋体" w:cs="宋体"/>
                <w:color w:val="auto"/>
                <w:highlight w:val="none"/>
              </w:rPr>
              <w:t>不接受</w:t>
            </w:r>
          </w:p>
        </w:tc>
        <w:tc>
          <w:tcPr>
            <w:tcW w:w="364" w:type="pct"/>
            <w:noWrap w:val="0"/>
            <w:vAlign w:val="center"/>
          </w:tcPr>
          <w:p w14:paraId="68F29FA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highlight w:val="none"/>
              </w:rPr>
            </w:pPr>
            <w:r>
              <w:rPr>
                <w:rFonts w:hint="eastAsia" w:ascii="宋体" w:hAnsi="宋体" w:cs="宋体"/>
                <w:color w:val="auto"/>
                <w:highlight w:val="none"/>
              </w:rPr>
              <w:t>/</w:t>
            </w:r>
          </w:p>
        </w:tc>
      </w:tr>
    </w:tbl>
    <w:p w14:paraId="296CC8B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val="0"/>
          <w:color w:val="auto"/>
          <w:sz w:val="21"/>
          <w:szCs w:val="21"/>
          <w:highlight w:val="none"/>
        </w:rPr>
      </w:pPr>
    </w:p>
    <w:p w14:paraId="07CE0681">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二、临床用途与需求说明：</w:t>
      </w:r>
    </w:p>
    <w:p w14:paraId="26F541F5">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光学相干断层扫描仪是无创、快速、非接触式检查，适用于眼科眼前节、眼后节断层成像检查及眼后节血流检查，提高患者依从性，提高诊疗效率，结合设备量化分析功能，对疾病诊疗实现从定性诊断到定量管理的转变。</w:t>
      </w:r>
    </w:p>
    <w:p w14:paraId="2CC618A7">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cs="宋体"/>
          <w:b w:val="0"/>
          <w:bCs w:val="0"/>
          <w:color w:val="auto"/>
          <w:szCs w:val="21"/>
          <w:highlight w:val="none"/>
        </w:rPr>
      </w:pPr>
      <w:bookmarkStart w:id="65" w:name="_Toc55204181"/>
      <w:r>
        <w:rPr>
          <w:rFonts w:hint="eastAsia" w:ascii="宋体" w:hAnsi="宋体" w:cs="宋体"/>
          <w:b/>
          <w:bCs/>
          <w:color w:val="auto"/>
          <w:szCs w:val="21"/>
          <w:highlight w:val="none"/>
        </w:rPr>
        <w:t>三、</w:t>
      </w:r>
      <w:r>
        <w:rPr>
          <w:rFonts w:hint="eastAsia" w:ascii="宋体" w:hAnsi="宋体" w:cs="宋体"/>
          <w:b/>
          <w:bCs/>
          <w:color w:val="auto"/>
          <w:szCs w:val="21"/>
          <w:highlight w:val="none"/>
          <w:lang w:val="en-US" w:eastAsia="zh-CN"/>
        </w:rPr>
        <w:t>技术参数要求</w:t>
      </w:r>
      <w:r>
        <w:rPr>
          <w:rFonts w:hint="eastAsia" w:ascii="宋体" w:hAnsi="宋体" w:cs="宋体"/>
          <w:b/>
          <w:bCs/>
          <w:color w:val="auto"/>
          <w:szCs w:val="21"/>
          <w:highlight w:val="none"/>
        </w:rPr>
        <w:t>：</w:t>
      </w:r>
    </w:p>
    <w:p w14:paraId="605F32FC">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（一）设备功能</w:t>
      </w:r>
      <w:r>
        <w:rPr>
          <w:rFonts w:hint="eastAsia" w:ascii="宋体" w:hAnsi="宋体" w:cs="宋体"/>
          <w:bCs/>
          <w:color w:val="auto"/>
          <w:kern w:val="0"/>
          <w:szCs w:val="21"/>
          <w:highlight w:val="none"/>
          <w:shd w:val="clear" w:color="auto" w:fill="FFFFFF"/>
          <w:lang w:eastAsia="zh-CN"/>
        </w:rPr>
        <w:t>：</w:t>
      </w:r>
    </w:p>
    <w:p w14:paraId="2FDA455F">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1、注册证适用范围：必须明确</w:t>
      </w:r>
      <w:r>
        <w:rPr>
          <w:rFonts w:hint="eastAsia" w:ascii="宋体" w:hAnsi="宋体" w:cs="宋体"/>
          <w:bCs/>
          <w:color w:val="auto"/>
          <w:kern w:val="0"/>
          <w:szCs w:val="21"/>
          <w:highlight w:val="none"/>
          <w:shd w:val="clear" w:color="auto" w:fill="FFFFFF"/>
          <w:lang w:val="en-US" w:eastAsia="zh-CN"/>
        </w:rPr>
        <w:t>具有</w:t>
      </w:r>
      <w:r>
        <w:rPr>
          <w:rFonts w:hint="eastAsia" w:ascii="宋体" w:hAnsi="宋体" w:eastAsia="宋体" w:cs="宋体"/>
          <w:bCs/>
          <w:color w:val="auto"/>
          <w:kern w:val="0"/>
          <w:szCs w:val="21"/>
          <w:highlight w:val="none"/>
          <w:shd w:val="clear" w:color="auto" w:fill="FFFFFF"/>
        </w:rPr>
        <w:t>眼前节断层成像检查或房角、前房成像检查</w:t>
      </w:r>
      <w:r>
        <w:rPr>
          <w:rFonts w:hint="eastAsia" w:ascii="宋体" w:hAnsi="宋体" w:cs="宋体"/>
          <w:bCs/>
          <w:color w:val="auto"/>
          <w:kern w:val="0"/>
          <w:szCs w:val="21"/>
          <w:highlight w:val="none"/>
          <w:shd w:val="clear" w:color="auto" w:fill="FFFFFF"/>
          <w:lang w:val="en-US" w:eastAsia="zh-CN"/>
        </w:rPr>
        <w:t>功能</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(提供产品注册证证明文件)</w:t>
      </w:r>
    </w:p>
    <w:p w14:paraId="12116935">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2、★注册证中结构及组成/主要组成成分：必须明确包含眼前节适配器</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（提供产品注册证证明文件）</w:t>
      </w:r>
    </w:p>
    <w:p w14:paraId="094F9B56">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3、▲OCT操作：</w:t>
      </w:r>
      <w:r>
        <w:rPr>
          <w:rFonts w:hint="eastAsia" w:ascii="宋体" w:hAnsi="宋体" w:cs="宋体"/>
          <w:bCs/>
          <w:color w:val="auto"/>
          <w:kern w:val="0"/>
          <w:szCs w:val="21"/>
          <w:highlight w:val="none"/>
          <w:shd w:val="clear" w:color="auto" w:fill="FFFFFF"/>
          <w:lang w:val="en-US" w:eastAsia="zh-CN"/>
        </w:rPr>
        <w:t>操作系统为</w:t>
      </w:r>
      <w:r>
        <w:rPr>
          <w:rFonts w:hint="eastAsia" w:ascii="宋体" w:hAnsi="宋体" w:eastAsia="宋体" w:cs="宋体"/>
          <w:bCs/>
          <w:color w:val="auto"/>
          <w:kern w:val="0"/>
          <w:szCs w:val="21"/>
          <w:highlight w:val="none"/>
          <w:shd w:val="clear" w:color="auto" w:fill="FFFFFF"/>
        </w:rPr>
        <w:t>中文系统，纯鼠标操作设备，无需手动摇杆操作设备</w:t>
      </w:r>
      <w:r>
        <w:rPr>
          <w:rFonts w:hint="eastAsia" w:ascii="宋体" w:hAnsi="宋体" w:cs="宋体"/>
          <w:bCs/>
          <w:color w:val="auto"/>
          <w:kern w:val="0"/>
          <w:szCs w:val="21"/>
          <w:highlight w:val="none"/>
          <w:shd w:val="clear" w:color="auto" w:fill="FFFFFF"/>
          <w:lang w:eastAsia="zh-CN"/>
        </w:rPr>
        <w:t>。</w:t>
      </w:r>
      <w:r>
        <w:rPr>
          <w:rFonts w:hint="eastAsia"/>
          <w:color w:val="auto"/>
          <w:highlight w:val="none"/>
          <w:lang w:eastAsia="zh-CN"/>
        </w:rPr>
        <w:t>（</w:t>
      </w:r>
      <w:r>
        <w:rPr>
          <w:rFonts w:hint="eastAsia"/>
          <w:color w:val="auto"/>
          <w:highlight w:val="none"/>
          <w:lang w:val="en-US" w:eastAsia="zh-CN"/>
        </w:rPr>
        <w:t>提供相关证明材料</w:t>
      </w:r>
      <w:r>
        <w:rPr>
          <w:rFonts w:hint="eastAsia"/>
          <w:color w:val="auto"/>
          <w:highlight w:val="none"/>
          <w:lang w:eastAsia="zh-CN"/>
        </w:rPr>
        <w:t>）</w:t>
      </w:r>
    </w:p>
    <w:p w14:paraId="315DC5C2">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（二）OCT成像</w:t>
      </w:r>
      <w:r>
        <w:rPr>
          <w:rFonts w:hint="eastAsia" w:ascii="宋体" w:hAnsi="宋体" w:cs="宋体"/>
          <w:bCs/>
          <w:color w:val="auto"/>
          <w:kern w:val="0"/>
          <w:szCs w:val="21"/>
          <w:highlight w:val="none"/>
          <w:shd w:val="clear" w:color="auto" w:fill="FFFFFF"/>
          <w:lang w:eastAsia="zh-CN"/>
        </w:rPr>
        <w:t>：</w:t>
      </w:r>
    </w:p>
    <w:p w14:paraId="0E9FECBA">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1、OCT扫描光源：扫频激光光源</w:t>
      </w:r>
      <w:r>
        <w:rPr>
          <w:rFonts w:hint="eastAsia" w:ascii="宋体" w:hAnsi="宋体" w:cs="宋体"/>
          <w:bCs/>
          <w:color w:val="auto"/>
          <w:kern w:val="0"/>
          <w:szCs w:val="21"/>
          <w:highlight w:val="none"/>
          <w:shd w:val="clear" w:color="auto" w:fill="FFFFFF"/>
          <w:lang w:eastAsia="zh-CN"/>
        </w:rPr>
        <w:t>。</w:t>
      </w:r>
    </w:p>
    <w:p w14:paraId="04148D1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2、▲扫描速度：≥250000次A-Scan/秒</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(提供产品注册检验报告证明)</w:t>
      </w:r>
    </w:p>
    <w:p w14:paraId="6BB1C697">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3、▲扫频激光器中心波长：≥1060nm</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(提供产品注册检验报告证明)</w:t>
      </w:r>
    </w:p>
    <w:p w14:paraId="50CE2EB6">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4、眼底扫描深度：≥6 mm</w:t>
      </w:r>
      <w:r>
        <w:rPr>
          <w:rFonts w:hint="eastAsia" w:ascii="宋体" w:hAnsi="宋体" w:cs="宋体"/>
          <w:bCs/>
          <w:color w:val="auto"/>
          <w:kern w:val="0"/>
          <w:szCs w:val="21"/>
          <w:highlight w:val="none"/>
          <w:shd w:val="clear" w:color="auto" w:fill="FFFFFF"/>
          <w:lang w:eastAsia="zh-CN"/>
        </w:rPr>
        <w:t>。</w:t>
      </w:r>
    </w:p>
    <w:p w14:paraId="6CC9EC3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5、▲眼底扫描长度：≥18mm</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(提供产品注册检验报告证明)</w:t>
      </w:r>
    </w:p>
    <w:p w14:paraId="5F9A8EA5">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6、▲轴向分辨率（光学）≤3.8um，横向分辨率（光学）≤10um</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(提供产品注册检验报告证明)</w:t>
      </w:r>
    </w:p>
    <w:p w14:paraId="29074332">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7、扫描方式：</w:t>
      </w:r>
      <w:r>
        <w:rPr>
          <w:rFonts w:hint="eastAsia" w:ascii="宋体" w:hAnsi="宋体" w:cs="宋体"/>
          <w:bCs/>
          <w:color w:val="auto"/>
          <w:kern w:val="0"/>
          <w:szCs w:val="21"/>
          <w:highlight w:val="none"/>
          <w:shd w:val="clear" w:color="auto" w:fill="FFFFFF"/>
          <w:lang w:val="en-US" w:eastAsia="zh-CN"/>
        </w:rPr>
        <w:t>至少包括</w:t>
      </w:r>
      <w:r>
        <w:rPr>
          <w:rFonts w:hint="eastAsia" w:ascii="宋体" w:hAnsi="宋体" w:eastAsia="宋体" w:cs="宋体"/>
          <w:bCs/>
          <w:color w:val="auto"/>
          <w:kern w:val="0"/>
          <w:szCs w:val="21"/>
          <w:highlight w:val="none"/>
          <w:shd w:val="clear" w:color="auto" w:fill="FFFFFF"/>
        </w:rPr>
        <w:t>辐射、网格、3D黄斑、3D视盘、黄斑OCTA、视盘OCTA，前节单线、前节辐射、高清辐射、前节3D</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(提供产品注册检验报告证明)</w:t>
      </w:r>
    </w:p>
    <w:p w14:paraId="68EB9F58">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（三）眼底成像及功能：</w:t>
      </w:r>
    </w:p>
    <w:p w14:paraId="37D60C12">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8、眼底图成像方式：共聚焦激光眼底成像</w:t>
      </w:r>
      <w:r>
        <w:rPr>
          <w:rFonts w:hint="eastAsia" w:ascii="宋体" w:hAnsi="宋体" w:cs="宋体"/>
          <w:bCs/>
          <w:color w:val="auto"/>
          <w:kern w:val="0"/>
          <w:szCs w:val="21"/>
          <w:highlight w:val="none"/>
          <w:shd w:val="clear" w:color="auto" w:fill="FFFFFF"/>
          <w:lang w:eastAsia="zh-CN"/>
        </w:rPr>
        <w:t>。</w:t>
      </w:r>
    </w:p>
    <w:p w14:paraId="1458CE15">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9、▲眼底成像波长标准值:≥840nm，不计算允差</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 xml:space="preserve">(提供产品注册检验报告证明) </w:t>
      </w:r>
    </w:p>
    <w:p w14:paraId="4BE638D5">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10、视网膜厚度地形图：可以手动测量指定区域视网膜厚度，也可自定义任意两层厚度进行自动分析。生成厚度地形图及偏差图，可在眼底图叠加热力图</w:t>
      </w:r>
      <w:r>
        <w:rPr>
          <w:rFonts w:hint="eastAsia" w:ascii="宋体" w:hAnsi="宋体" w:cs="宋体"/>
          <w:bCs/>
          <w:color w:val="auto"/>
          <w:kern w:val="0"/>
          <w:szCs w:val="21"/>
          <w:highlight w:val="none"/>
          <w:shd w:val="clear" w:color="auto" w:fill="FFFFFF"/>
          <w:lang w:eastAsia="zh-CN"/>
        </w:rPr>
        <w:t>。</w:t>
      </w:r>
    </w:p>
    <w:p w14:paraId="32B93E41">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11、网膜三维图像分析模式：支持三维重建技术，支持基于三位模式的分层、自定义分区浏览模式，视网膜形态分析模式：支持3D视网膜分析，视网膜曲率，视网膜球差，视网膜等高图分析，视网膜曲率半径分析。</w:t>
      </w:r>
    </w:p>
    <w:p w14:paraId="6E5A5146">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12、青光眼分析软件：内置正常人RNFL及神经节细胞复合体厚度数据库；视盘结构分析：自动识别视杯视盘位置与视盘边缘，测量垂直方向，水平方向、面积杯盘比，盘沿面积、视杯体积。支持6mm范围厚度图并对神经纤维层厚度分析；神经节细胞复合体分析：支持黄斑区神经节细胞厚度分析；青光眼综合分析：生成视盘结构分析与视盘OCTA量化分析的功能组合报告</w:t>
      </w:r>
      <w:r>
        <w:rPr>
          <w:rFonts w:hint="eastAsia" w:ascii="宋体" w:hAnsi="宋体" w:cs="宋体"/>
          <w:bCs/>
          <w:color w:val="auto"/>
          <w:kern w:val="0"/>
          <w:szCs w:val="21"/>
          <w:highlight w:val="none"/>
          <w:shd w:val="clear" w:color="auto" w:fill="FFFFFF"/>
          <w:lang w:eastAsia="zh-CN"/>
        </w:rPr>
        <w:t>。</w:t>
      </w:r>
    </w:p>
    <w:p w14:paraId="5D178F70">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（四）血流成像及功能：</w:t>
      </w:r>
    </w:p>
    <w:p w14:paraId="33E4F9A8">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13、▲无任何外接镜头下，单次眼底OCTA成像范围≥24mm</w:t>
      </w:r>
      <w:r>
        <w:rPr>
          <w:rFonts w:hint="eastAsia" w:ascii="宋体" w:hAnsi="宋体" w:cs="宋体"/>
          <w:bCs/>
          <w:color w:val="auto"/>
          <w:kern w:val="0"/>
          <w:szCs w:val="21"/>
          <w:highlight w:val="none"/>
          <w:shd w:val="clear" w:color="auto" w:fill="FFFFFF"/>
          <w:lang w:val="en-US" w:eastAsia="zh-CN"/>
        </w:rPr>
        <w:t>*</w:t>
      </w:r>
      <w:r>
        <w:rPr>
          <w:rFonts w:hint="eastAsia" w:ascii="宋体" w:hAnsi="宋体" w:eastAsia="宋体" w:cs="宋体"/>
          <w:bCs/>
          <w:color w:val="auto"/>
          <w:kern w:val="0"/>
          <w:szCs w:val="21"/>
          <w:highlight w:val="none"/>
          <w:shd w:val="clear" w:color="auto" w:fill="FFFFFF"/>
        </w:rPr>
        <w:t>20mm</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（提供官方彩页证明文件</w:t>
      </w:r>
      <w:r>
        <w:rPr>
          <w:rFonts w:hint="eastAsia" w:ascii="宋体" w:hAnsi="宋体" w:cs="宋体"/>
          <w:bCs/>
          <w:color w:val="auto"/>
          <w:kern w:val="0"/>
          <w:szCs w:val="21"/>
          <w:highlight w:val="none"/>
          <w:shd w:val="clear" w:color="auto" w:fill="FFFFFF"/>
          <w:lang w:val="en-US" w:eastAsia="zh-CN"/>
        </w:rPr>
        <w:t>或产品技术规格书</w:t>
      </w:r>
      <w:r>
        <w:rPr>
          <w:rFonts w:hint="eastAsia" w:ascii="宋体" w:hAnsi="宋体" w:eastAsia="宋体" w:cs="宋体"/>
          <w:bCs/>
          <w:color w:val="auto"/>
          <w:kern w:val="0"/>
          <w:szCs w:val="21"/>
          <w:highlight w:val="none"/>
          <w:shd w:val="clear" w:color="auto" w:fill="FFFFFF"/>
        </w:rPr>
        <w:t>）</w:t>
      </w:r>
    </w:p>
    <w:p w14:paraId="10D3CDDA">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14、血流量化分析软件：支持玻璃体、视网膜与脉络膜分层，支持格栅分区、ETDRS等多种分区，默认自动7层分层，可根据需求手动调节任意层次。血流量化参数：支持自定义边界与环形边界血流面积测量。支持任意扫描尺寸的血流密度测量，自动识别FAZ，自动测量面积、周长、近圆比例、环周密度</w:t>
      </w:r>
      <w:r>
        <w:rPr>
          <w:rFonts w:hint="eastAsia" w:ascii="宋体" w:hAnsi="宋体" w:cs="宋体"/>
          <w:bCs/>
          <w:color w:val="auto"/>
          <w:kern w:val="0"/>
          <w:szCs w:val="21"/>
          <w:highlight w:val="none"/>
          <w:shd w:val="clear" w:color="auto" w:fill="FFFFFF"/>
          <w:lang w:eastAsia="zh-CN"/>
        </w:rPr>
        <w:t>。</w:t>
      </w:r>
    </w:p>
    <w:p w14:paraId="67AE0EF5">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15、脉络膜分析软件：自动或手动测量脉络膜厚度，支持任意扫描尺寸的脉络膜中大血管层血流量化，支持2D 血流密度量化；支持3D，CVV,CVI,CSV,CSI脉络膜中大血流自动识别及量化分析</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（提供官方彩页证明文件</w:t>
      </w:r>
      <w:r>
        <w:rPr>
          <w:rFonts w:hint="eastAsia" w:ascii="宋体" w:hAnsi="宋体" w:cs="宋体"/>
          <w:bCs/>
          <w:color w:val="auto"/>
          <w:kern w:val="0"/>
          <w:szCs w:val="21"/>
          <w:highlight w:val="none"/>
          <w:shd w:val="clear" w:color="auto" w:fill="FFFFFF"/>
          <w:lang w:val="en-US" w:eastAsia="zh-CN"/>
        </w:rPr>
        <w:t>或产品技术规格书</w:t>
      </w:r>
      <w:r>
        <w:rPr>
          <w:rFonts w:hint="eastAsia" w:ascii="宋体" w:hAnsi="宋体" w:eastAsia="宋体" w:cs="宋体"/>
          <w:bCs/>
          <w:color w:val="auto"/>
          <w:kern w:val="0"/>
          <w:szCs w:val="21"/>
          <w:highlight w:val="none"/>
          <w:shd w:val="clear" w:color="auto" w:fill="FFFFFF"/>
        </w:rPr>
        <w:t>）</w:t>
      </w:r>
    </w:p>
    <w:p w14:paraId="59CF181D">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default" w:ascii="宋体" w:hAnsi="宋体" w:eastAsia="宋体" w:cs="宋体"/>
          <w:bCs/>
          <w:color w:val="auto"/>
          <w:kern w:val="0"/>
          <w:szCs w:val="21"/>
          <w:highlight w:val="none"/>
          <w:shd w:val="clear" w:color="auto" w:fill="FFFFFF"/>
          <w:lang w:val="en-US" w:eastAsia="zh-CN"/>
        </w:rPr>
      </w:pPr>
      <w:r>
        <w:rPr>
          <w:rFonts w:hint="eastAsia" w:ascii="宋体" w:hAnsi="宋体" w:cs="宋体"/>
          <w:bCs/>
          <w:color w:val="auto"/>
          <w:kern w:val="0"/>
          <w:szCs w:val="21"/>
          <w:highlight w:val="none"/>
          <w:shd w:val="clear" w:color="auto" w:fill="FFFFFF"/>
          <w:lang w:val="en-US" w:eastAsia="zh-CN"/>
        </w:rPr>
        <w:t>16、★具备眼底血流成像功能</w:t>
      </w:r>
    </w:p>
    <w:p w14:paraId="5C998B3D">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（五）眼前节成像及功能：</w:t>
      </w:r>
    </w:p>
    <w:p w14:paraId="3344E095">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17、▲具备眼前节适配器（可拆卸外置镜头），独立保存专业安装，成像更清晰，非内置眼前节镜头。</w:t>
      </w:r>
      <w:r>
        <w:rPr>
          <w:rFonts w:hint="eastAsia"/>
          <w:color w:val="auto"/>
          <w:highlight w:val="none"/>
          <w:lang w:eastAsia="zh-CN"/>
        </w:rPr>
        <w:t>（</w:t>
      </w:r>
      <w:r>
        <w:rPr>
          <w:rFonts w:hint="eastAsia"/>
          <w:color w:val="auto"/>
          <w:highlight w:val="none"/>
          <w:lang w:val="en-US" w:eastAsia="zh-CN"/>
        </w:rPr>
        <w:t>提供相关证明材料</w:t>
      </w:r>
      <w:r>
        <w:rPr>
          <w:rFonts w:hint="eastAsia"/>
          <w:color w:val="auto"/>
          <w:highlight w:val="none"/>
          <w:lang w:eastAsia="zh-CN"/>
        </w:rPr>
        <w:t>）</w:t>
      </w:r>
    </w:p>
    <w:p w14:paraId="27C9219A">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w:t>
      </w:r>
      <w:r>
        <w:rPr>
          <w:rFonts w:hint="eastAsia" w:ascii="宋体" w:hAnsi="宋体" w:cs="宋体"/>
          <w:bCs/>
          <w:color w:val="auto"/>
          <w:kern w:val="0"/>
          <w:szCs w:val="21"/>
          <w:highlight w:val="none"/>
          <w:shd w:val="clear" w:color="auto" w:fill="FFFFFF"/>
          <w:lang w:val="en-US" w:eastAsia="zh-CN"/>
        </w:rPr>
        <w:t>8</w:t>
      </w:r>
      <w:r>
        <w:rPr>
          <w:rFonts w:hint="eastAsia" w:ascii="宋体" w:hAnsi="宋体" w:eastAsia="宋体" w:cs="宋体"/>
          <w:bCs/>
          <w:color w:val="auto"/>
          <w:kern w:val="0"/>
          <w:szCs w:val="21"/>
          <w:highlight w:val="none"/>
          <w:shd w:val="clear" w:color="auto" w:fill="FFFFFF"/>
        </w:rPr>
        <w:t>、眼前节扫描深度：≥12mm</w:t>
      </w:r>
      <w:r>
        <w:rPr>
          <w:rFonts w:hint="eastAsia" w:ascii="宋体" w:hAnsi="宋体" w:cs="宋体"/>
          <w:bCs/>
          <w:color w:val="auto"/>
          <w:kern w:val="0"/>
          <w:szCs w:val="21"/>
          <w:highlight w:val="none"/>
          <w:shd w:val="clear" w:color="auto" w:fill="FFFFFF"/>
          <w:lang w:eastAsia="zh-CN"/>
        </w:rPr>
        <w:t>。</w:t>
      </w:r>
    </w:p>
    <w:p w14:paraId="7AC7B10C">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19、眼前节扫描长度：≥24mm</w:t>
      </w:r>
      <w:r>
        <w:rPr>
          <w:rFonts w:hint="eastAsia" w:ascii="宋体" w:hAnsi="宋体" w:cs="宋体"/>
          <w:bCs/>
          <w:color w:val="auto"/>
          <w:kern w:val="0"/>
          <w:szCs w:val="21"/>
          <w:highlight w:val="none"/>
          <w:shd w:val="clear" w:color="auto" w:fill="FFFFFF"/>
          <w:lang w:eastAsia="zh-CN"/>
        </w:rPr>
        <w:t>。</w:t>
      </w:r>
    </w:p>
    <w:p w14:paraId="1E4E9E66">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20、眼前节分析软件：自动或手动测量ICL拱高，前房深度、前房体积、房角隐窝距离、巩膜突距离。3D重建房角状态，自动测量房角角度，巩膜突角度、房角开放面积、小梁网虹膜间面积。半自动角膜瓣厚度及位置测量。支持360全景房角自动量化</w:t>
      </w:r>
      <w:r>
        <w:rPr>
          <w:rFonts w:hint="eastAsia" w:ascii="宋体" w:hAnsi="宋体" w:cs="宋体"/>
          <w:bCs/>
          <w:color w:val="auto"/>
          <w:kern w:val="0"/>
          <w:szCs w:val="21"/>
          <w:highlight w:val="none"/>
          <w:shd w:val="clear" w:color="auto" w:fill="FFFFFF"/>
          <w:lang w:eastAsia="zh-CN"/>
        </w:rPr>
        <w:t>。</w:t>
      </w:r>
    </w:p>
    <w:p w14:paraId="4E26F857">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（六）配置清单：</w:t>
      </w:r>
    </w:p>
    <w:p w14:paraId="32E3003C">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21</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设备主机1台</w:t>
      </w:r>
      <w:r>
        <w:rPr>
          <w:rFonts w:hint="eastAsia" w:ascii="宋体" w:hAnsi="宋体" w:cs="宋体"/>
          <w:bCs/>
          <w:color w:val="auto"/>
          <w:kern w:val="0"/>
          <w:szCs w:val="21"/>
          <w:highlight w:val="none"/>
          <w:shd w:val="clear" w:color="auto" w:fill="FFFFFF"/>
          <w:lang w:eastAsia="zh-CN"/>
        </w:rPr>
        <w:t>。</w:t>
      </w:r>
    </w:p>
    <w:p w14:paraId="17E3F8D8">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22、眼前节适配器1套</w:t>
      </w:r>
      <w:r>
        <w:rPr>
          <w:rFonts w:hint="eastAsia" w:ascii="宋体" w:hAnsi="宋体" w:cs="宋体"/>
          <w:bCs/>
          <w:color w:val="auto"/>
          <w:kern w:val="0"/>
          <w:szCs w:val="21"/>
          <w:highlight w:val="none"/>
          <w:shd w:val="clear" w:color="auto" w:fill="FFFFFF"/>
          <w:lang w:eastAsia="zh-CN"/>
        </w:rPr>
        <w:t>。</w:t>
      </w:r>
    </w:p>
    <w:p w14:paraId="0EF4EEDA">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23、电动升降台1台</w:t>
      </w:r>
      <w:r>
        <w:rPr>
          <w:rFonts w:hint="eastAsia" w:ascii="宋体" w:hAnsi="宋体" w:cs="宋体"/>
          <w:bCs/>
          <w:color w:val="auto"/>
          <w:kern w:val="0"/>
          <w:szCs w:val="21"/>
          <w:highlight w:val="none"/>
          <w:shd w:val="clear" w:color="auto" w:fill="FFFFFF"/>
          <w:lang w:eastAsia="zh-CN"/>
        </w:rPr>
        <w:t>。</w:t>
      </w:r>
    </w:p>
    <w:p w14:paraId="6F271924">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24、电脑主机1套</w:t>
      </w:r>
      <w:r>
        <w:rPr>
          <w:rFonts w:hint="eastAsia" w:ascii="宋体" w:hAnsi="宋体" w:cs="宋体"/>
          <w:bCs/>
          <w:color w:val="auto"/>
          <w:kern w:val="0"/>
          <w:szCs w:val="21"/>
          <w:highlight w:val="none"/>
          <w:shd w:val="clear" w:color="auto" w:fill="FFFFFF"/>
          <w:lang w:eastAsia="zh-CN"/>
        </w:rPr>
        <w:t>。</w:t>
      </w:r>
    </w:p>
    <w:p w14:paraId="47D9DD27">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25、系统电源1套</w:t>
      </w:r>
      <w:r>
        <w:rPr>
          <w:rFonts w:hint="eastAsia" w:ascii="宋体" w:hAnsi="宋体" w:cs="宋体"/>
          <w:bCs/>
          <w:color w:val="auto"/>
          <w:kern w:val="0"/>
          <w:szCs w:val="21"/>
          <w:highlight w:val="none"/>
          <w:shd w:val="clear" w:color="auto" w:fill="FFFFFF"/>
          <w:lang w:eastAsia="zh-CN"/>
        </w:rPr>
        <w:t>。</w:t>
      </w:r>
    </w:p>
    <w:p w14:paraId="3B01D4B5">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26、打印机1套</w:t>
      </w:r>
      <w:r>
        <w:rPr>
          <w:rFonts w:hint="eastAsia" w:ascii="宋体" w:hAnsi="宋体" w:cs="宋体"/>
          <w:bCs/>
          <w:color w:val="auto"/>
          <w:kern w:val="0"/>
          <w:szCs w:val="21"/>
          <w:highlight w:val="none"/>
          <w:shd w:val="clear" w:color="auto" w:fill="FFFFFF"/>
          <w:lang w:eastAsia="zh-CN"/>
        </w:rPr>
        <w:t>。</w:t>
      </w:r>
    </w:p>
    <w:p w14:paraId="3F0A3834">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27、显示器1台</w:t>
      </w:r>
      <w:r>
        <w:rPr>
          <w:rFonts w:hint="eastAsia" w:ascii="宋体" w:hAnsi="宋体" w:cs="宋体"/>
          <w:bCs/>
          <w:color w:val="auto"/>
          <w:kern w:val="0"/>
          <w:szCs w:val="21"/>
          <w:highlight w:val="none"/>
          <w:shd w:val="clear" w:color="auto" w:fill="FFFFFF"/>
          <w:lang w:eastAsia="zh-CN"/>
        </w:rPr>
        <w:t>。</w:t>
      </w:r>
    </w:p>
    <w:p w14:paraId="0832D172">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w:t>
      </w:r>
      <w:r>
        <w:rPr>
          <w:rFonts w:hint="eastAsia" w:ascii="宋体" w:hAnsi="宋体" w:cs="宋体"/>
          <w:bCs/>
          <w:color w:val="auto"/>
          <w:kern w:val="0"/>
          <w:szCs w:val="21"/>
          <w:highlight w:val="none"/>
          <w:shd w:val="clear" w:color="auto" w:fill="FFFFFF"/>
          <w:lang w:val="en-US" w:eastAsia="zh-CN"/>
        </w:rPr>
        <w:t>8</w:t>
      </w:r>
      <w:r>
        <w:rPr>
          <w:rFonts w:hint="eastAsia" w:ascii="宋体" w:hAnsi="宋体" w:eastAsia="宋体" w:cs="宋体"/>
          <w:bCs/>
          <w:color w:val="auto"/>
          <w:kern w:val="0"/>
          <w:szCs w:val="21"/>
          <w:highlight w:val="none"/>
          <w:shd w:val="clear" w:color="auto" w:fill="FFFFFF"/>
        </w:rPr>
        <w:t>、眼科专业软件1套</w:t>
      </w:r>
      <w:r>
        <w:rPr>
          <w:rFonts w:hint="eastAsia" w:ascii="宋体" w:hAnsi="宋体" w:cs="宋体"/>
          <w:bCs/>
          <w:color w:val="auto"/>
          <w:kern w:val="0"/>
          <w:szCs w:val="21"/>
          <w:highlight w:val="none"/>
          <w:shd w:val="clear" w:color="auto" w:fill="FFFFFF"/>
          <w:lang w:eastAsia="zh-CN"/>
        </w:rPr>
        <w:t>。</w:t>
      </w:r>
    </w:p>
    <w:p w14:paraId="5487BAA6">
      <w:pPr>
        <w:pStyle w:val="55"/>
        <w:adjustRightInd w:val="0"/>
        <w:snapToGrid w:val="0"/>
        <w:spacing w:line="300" w:lineRule="auto"/>
        <w:rPr>
          <w:rFonts w:hint="eastAsia"/>
          <w:b/>
          <w:bCs/>
          <w:color w:val="auto"/>
          <w:szCs w:val="21"/>
          <w:highlight w:val="none"/>
        </w:rPr>
      </w:pPr>
    </w:p>
    <w:p w14:paraId="026794EF">
      <w:pPr>
        <w:pStyle w:val="55"/>
        <w:adjustRightInd w:val="0"/>
        <w:snapToGrid w:val="0"/>
        <w:spacing w:line="300" w:lineRule="auto"/>
        <w:rPr>
          <w:b/>
          <w:bCs/>
          <w:color w:val="auto"/>
          <w:szCs w:val="21"/>
          <w:highlight w:val="none"/>
        </w:rPr>
      </w:pPr>
      <w:r>
        <w:rPr>
          <w:rFonts w:hint="eastAsia"/>
          <w:b/>
          <w:bCs/>
          <w:color w:val="auto"/>
          <w:szCs w:val="21"/>
          <w:highlight w:val="none"/>
        </w:rPr>
        <w:t>说明：</w:t>
      </w:r>
    </w:p>
    <w:p w14:paraId="5AC93DCF">
      <w:pPr>
        <w:pStyle w:val="55"/>
        <w:numPr>
          <w:ilvl w:val="0"/>
          <w:numId w:val="0"/>
        </w:numPr>
        <w:adjustRightInd w:val="0"/>
        <w:snapToGrid w:val="0"/>
        <w:spacing w:line="300" w:lineRule="auto"/>
        <w:rPr>
          <w:rFonts w:hint="eastAsia" w:ascii="宋体" w:hAnsi="宋体"/>
          <w:b/>
          <w:bCs/>
          <w:color w:val="auto"/>
          <w:szCs w:val="21"/>
          <w:highlight w:val="none"/>
        </w:rPr>
      </w:pPr>
      <w:r>
        <w:rPr>
          <w:rFonts w:hint="eastAsia" w:ascii="宋体" w:hAnsi="宋体" w:eastAsia="宋体" w:cs="Times New Roman"/>
          <w:b/>
          <w:bCs/>
          <w:color w:val="auto"/>
          <w:szCs w:val="21"/>
          <w:highlight w:val="none"/>
        </w:rPr>
        <w:t>（1）</w:t>
      </w:r>
      <w:r>
        <w:rPr>
          <w:rFonts w:hint="eastAsia" w:ascii="宋体" w:hAnsi="宋体"/>
          <w:b/>
          <w:bCs/>
          <w:color w:val="auto"/>
          <w:szCs w:val="21"/>
          <w:highlight w:val="none"/>
        </w:rPr>
        <w:t>上述条款中：标注“</w:t>
      </w:r>
      <w:r>
        <w:rPr>
          <w:rFonts w:hint="eastAsia" w:ascii="宋体" w:hAnsi="宋体" w:cs="宋体"/>
          <w:color w:val="auto"/>
          <w:highlight w:val="none"/>
        </w:rPr>
        <w:t>★</w:t>
      </w:r>
      <w:r>
        <w:rPr>
          <w:rFonts w:hint="eastAsia" w:ascii="宋体" w:hAnsi="宋体"/>
          <w:b/>
          <w:bCs/>
          <w:color w:val="auto"/>
          <w:szCs w:val="21"/>
          <w:highlight w:val="none"/>
        </w:rPr>
        <w:t>”号条款为实质性响应条款，投标人如有任何一条负偏离则导致投标无效；标注“▲”号条款（如有的话）为重点评审响应条款，投标人如有任何一条负偏离则影响评分。</w:t>
      </w:r>
    </w:p>
    <w:p w14:paraId="3191F626">
      <w:pPr>
        <w:pStyle w:val="55"/>
        <w:numPr>
          <w:ilvl w:val="0"/>
          <w:numId w:val="0"/>
        </w:numPr>
        <w:adjustRightInd w:val="0"/>
        <w:snapToGrid w:val="0"/>
        <w:spacing w:before="0" w:after="0" w:line="300" w:lineRule="auto"/>
        <w:rPr>
          <w:rFonts w:hint="eastAsia" w:ascii="宋体" w:hAnsi="宋体"/>
          <w:b/>
          <w:bCs/>
          <w:color w:val="auto"/>
          <w:szCs w:val="21"/>
          <w:highlight w:val="none"/>
        </w:rPr>
      </w:pP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2</w:t>
      </w:r>
      <w:r>
        <w:rPr>
          <w:rFonts w:hint="eastAsia" w:ascii="宋体" w:hAnsi="宋体"/>
          <w:b/>
          <w:bCs/>
          <w:color w:val="auto"/>
          <w:szCs w:val="21"/>
          <w:highlight w:val="none"/>
          <w:lang w:eastAsia="zh-CN"/>
        </w:rPr>
        <w:t>）</w:t>
      </w:r>
      <w:r>
        <w:rPr>
          <w:rFonts w:hint="eastAsia" w:ascii="宋体" w:hAnsi="宋体"/>
          <w:b/>
          <w:bCs/>
          <w:color w:val="auto"/>
          <w:szCs w:val="21"/>
          <w:highlight w:val="none"/>
        </w:rPr>
        <w:t>技术响应应有技术支持证明文件，如技术需求中有明确证明材料要求，则提供对应证明材料，“★”、“▲”参数如技术需求中未明确要求提供何种证明材料的，投标人应自行提供证明材料；自行提供的证明材料应是下列证明文件中的任意一种：①提供所有设备在社会上公开发布的带技术参数的宣传彩页；②提供互联网上下载打印的彩页截图，必须标明详细的查询网址并加盖生产厂商印章，方可为有效货物技术证明；③医疗器械注册检验报告（完整的）；④技术白皮书/原厂盖章技术说明。⑤经现场评标委员会评议后认可的证明材料。证明材料以中文为准，如为英文材料，应提供对应准确翻译件；同时应在证明材料中以勾线、画框等形式明确标注出技术需求在材料中的位置，并在响应偏离表中标明准确页码。</w:t>
      </w:r>
    </w:p>
    <w:p w14:paraId="1D0B2CD6">
      <w:pPr>
        <w:pStyle w:val="55"/>
        <w:numPr>
          <w:ilvl w:val="0"/>
          <w:numId w:val="0"/>
        </w:numPr>
        <w:adjustRightInd w:val="0"/>
        <w:snapToGrid w:val="0"/>
        <w:spacing w:before="0" w:after="0" w:line="300" w:lineRule="auto"/>
        <w:rPr>
          <w:rFonts w:hint="eastAsia" w:ascii="宋体" w:hAnsi="宋体"/>
          <w:b/>
          <w:bCs/>
          <w:color w:val="auto"/>
          <w:szCs w:val="21"/>
          <w:highlight w:val="none"/>
        </w:rPr>
      </w:pP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3</w:t>
      </w:r>
      <w:r>
        <w:rPr>
          <w:rFonts w:hint="eastAsia" w:ascii="宋体" w:hAnsi="宋体"/>
          <w:b/>
          <w:bCs/>
          <w:color w:val="auto"/>
          <w:szCs w:val="21"/>
          <w:highlight w:val="none"/>
          <w:lang w:eastAsia="zh-CN"/>
        </w:rPr>
        <w:t>）</w:t>
      </w:r>
      <w:r>
        <w:rPr>
          <w:rFonts w:hint="eastAsia" w:ascii="宋体" w:hAnsi="宋体"/>
          <w:b/>
          <w:bCs/>
          <w:color w:val="auto"/>
          <w:szCs w:val="21"/>
          <w:highlight w:val="none"/>
        </w:rPr>
        <w:t>投标人应根据项目需求以适合产品投标，如负偏离项数较多，</w:t>
      </w:r>
      <w:r>
        <w:rPr>
          <w:rFonts w:hint="eastAsia" w:ascii="宋体" w:hAnsi="宋体"/>
          <w:b/>
          <w:bCs/>
          <w:color w:val="auto"/>
          <w:szCs w:val="21"/>
          <w:highlight w:val="none"/>
          <w:lang w:val="en-US" w:eastAsia="zh-CN"/>
        </w:rPr>
        <w:t>视为</w:t>
      </w:r>
      <w:r>
        <w:rPr>
          <w:rFonts w:hint="eastAsia" w:ascii="宋体" w:hAnsi="宋体"/>
          <w:b/>
          <w:bCs/>
          <w:color w:val="auto"/>
          <w:szCs w:val="21"/>
          <w:highlight w:val="none"/>
        </w:rPr>
        <w:t>影响实现采购需求。</w:t>
      </w:r>
    </w:p>
    <w:p w14:paraId="01A60EEB">
      <w:pPr>
        <w:keepNext w:val="0"/>
        <w:keepLines w:val="0"/>
        <w:pageBreakBefore w:val="0"/>
        <w:widowControl/>
        <w:kinsoku/>
        <w:wordWrap/>
        <w:overflowPunct/>
        <w:topLinePunct w:val="0"/>
        <w:autoSpaceDE/>
        <w:autoSpaceDN/>
        <w:bidi w:val="0"/>
        <w:adjustRightInd/>
        <w:snapToGrid/>
        <w:spacing w:line="300" w:lineRule="auto"/>
        <w:ind w:firstLine="0" w:firstLineChars="0"/>
        <w:jc w:val="left"/>
        <w:textAlignment w:val="auto"/>
        <w:rPr>
          <w:rFonts w:hint="eastAsia" w:ascii="宋体" w:hAnsi="宋体" w:cs="宋体"/>
          <w:b w:val="0"/>
          <w:bCs w:val="0"/>
          <w:color w:val="auto"/>
          <w:sz w:val="21"/>
          <w:szCs w:val="21"/>
          <w:highlight w:val="none"/>
        </w:rPr>
      </w:pPr>
      <w:r>
        <w:rPr>
          <w:rFonts w:hint="eastAsia" w:ascii="宋体" w:hAnsi="宋体" w:cs="宋体"/>
          <w:b/>
          <w:bCs/>
          <w:color w:val="auto"/>
          <w:sz w:val="21"/>
          <w:szCs w:val="21"/>
          <w:highlight w:val="none"/>
        </w:rPr>
        <w:t>四、商务及服务要求：</w:t>
      </w:r>
    </w:p>
    <w:p w14:paraId="50506F21">
      <w:pPr>
        <w:spacing w:line="276" w:lineRule="auto"/>
        <w:ind w:firstLine="420" w:firstLineChars="200"/>
        <w:jc w:val="left"/>
        <w:rPr>
          <w:rFonts w:ascii="宋体" w:hAnsi="宋体"/>
          <w:color w:val="auto"/>
          <w:sz w:val="21"/>
          <w:szCs w:val="21"/>
          <w:highlight w:val="none"/>
        </w:rPr>
      </w:pPr>
      <w:r>
        <w:rPr>
          <w:rFonts w:hint="eastAsia" w:ascii="宋体" w:hAnsi="宋体" w:eastAsia="宋体" w:cs="宋体"/>
          <w:bCs/>
          <w:color w:val="auto"/>
          <w:kern w:val="0"/>
          <w:szCs w:val="21"/>
          <w:highlight w:val="none"/>
          <w:shd w:val="clear" w:color="auto" w:fill="FFFFFF"/>
        </w:rPr>
        <w:t>1、付款方式：合同签订后收到中标人发票后10日内支付合同总额的30%，货到验收合格后10日内支付合同总额的60%，验收合格满一年后15日内付5%，3年后付清尾款。</w:t>
      </w:r>
    </w:p>
    <w:p w14:paraId="421028DF">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color w:val="auto"/>
          <w:sz w:val="21"/>
          <w:szCs w:val="21"/>
          <w:highlight w:val="none"/>
        </w:rPr>
        <w:t>每次付款在甲方确认满足上述付款条件且收到乙方提供的符合国家规定的发票后完成。因乙方未提供符合甲方要求的增值税发票，甲方有权暂停支付款项，乙方不得以此解除合同或拒绝履行合同，应当继续履行合同约定的开发和交付义务，且甲方不承担延迟支付款项的责任。</w:t>
      </w:r>
    </w:p>
    <w:p w14:paraId="1717EA0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2、质保期</w:t>
      </w:r>
      <w:r>
        <w:rPr>
          <w:rFonts w:hint="eastAsia" w:ascii="宋体" w:hAnsi="宋体" w:cs="宋体"/>
          <w:bCs/>
          <w:color w:val="auto"/>
          <w:kern w:val="0"/>
          <w:szCs w:val="21"/>
          <w:highlight w:val="none"/>
          <w:shd w:val="clear" w:color="auto" w:fill="FFFFFF"/>
          <w:lang w:eastAsia="zh-CN"/>
        </w:rPr>
        <w:t>：</w:t>
      </w:r>
      <w:r>
        <w:rPr>
          <w:rFonts w:hint="eastAsia" w:ascii="宋体" w:hAnsi="宋体" w:cs="宋体"/>
          <w:bCs/>
          <w:color w:val="auto"/>
          <w:kern w:val="0"/>
          <w:szCs w:val="21"/>
          <w:highlight w:val="none"/>
          <w:shd w:val="clear" w:color="auto" w:fill="FFFFFF"/>
          <w:lang w:val="en-US" w:eastAsia="zh-CN"/>
        </w:rPr>
        <w:t>免费质保期为</w:t>
      </w:r>
      <w:r>
        <w:rPr>
          <w:rFonts w:hint="eastAsia" w:ascii="宋体" w:hAnsi="宋体" w:eastAsia="宋体" w:cs="宋体"/>
          <w:bCs/>
          <w:color w:val="auto"/>
          <w:kern w:val="0"/>
          <w:szCs w:val="21"/>
          <w:highlight w:val="none"/>
          <w:shd w:val="clear" w:color="auto" w:fill="FFFFFF"/>
        </w:rPr>
        <w:t>5年（自验收合格之日起算）。</w:t>
      </w:r>
    </w:p>
    <w:p w14:paraId="5980CF19">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lang w:val="en-US" w:eastAsia="zh-CN"/>
        </w:rPr>
        <w:t>3、</w:t>
      </w:r>
      <w:r>
        <w:rPr>
          <w:rFonts w:hint="eastAsia" w:ascii="宋体" w:hAnsi="宋体" w:eastAsia="宋体" w:cs="宋体"/>
          <w:bCs/>
          <w:color w:val="auto"/>
          <w:kern w:val="0"/>
          <w:szCs w:val="21"/>
          <w:highlight w:val="none"/>
          <w:shd w:val="clear" w:color="auto" w:fill="FFFFFF"/>
        </w:rPr>
        <w:t>交货期</w:t>
      </w:r>
      <w:r>
        <w:rPr>
          <w:rFonts w:hint="eastAsia" w:ascii="宋体" w:hAnsi="宋体" w:eastAsia="宋体" w:cs="宋体"/>
          <w:bCs/>
          <w:color w:val="auto"/>
          <w:kern w:val="0"/>
          <w:szCs w:val="21"/>
          <w:highlight w:val="none"/>
          <w:shd w:val="clear" w:color="auto" w:fill="FFFFFF"/>
          <w:lang w:eastAsia="zh-CN"/>
        </w:rPr>
        <w:t>：采购人订货通知发出后，30个工作日内将货物送至采购人指定地点，验收合格并交付采购人使用</w:t>
      </w:r>
      <w:r>
        <w:rPr>
          <w:rFonts w:hint="eastAsia" w:ascii="宋体" w:hAnsi="宋体" w:cs="宋体"/>
          <w:bCs/>
          <w:color w:val="auto"/>
          <w:kern w:val="0"/>
          <w:szCs w:val="21"/>
          <w:highlight w:val="none"/>
          <w:shd w:val="clear" w:color="auto" w:fill="FFFFFF"/>
          <w:lang w:eastAsia="zh-CN"/>
        </w:rPr>
        <w:t>。</w:t>
      </w:r>
    </w:p>
    <w:p w14:paraId="545112A3">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五</w:t>
      </w:r>
      <w:r>
        <w:rPr>
          <w:rFonts w:hint="eastAsia" w:ascii="宋体" w:hAnsi="宋体" w:cs="宋体"/>
          <w:b/>
          <w:bCs/>
          <w:color w:val="auto"/>
          <w:szCs w:val="21"/>
          <w:highlight w:val="none"/>
        </w:rPr>
        <w:t>、投标报价</w:t>
      </w:r>
    </w:p>
    <w:p w14:paraId="7AD9DBE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投标报价应包括项目实施过程中所有费用，包含但不限于：拟提供货物材料、制作、包装、运输、分批多次运输、成品保护、装卸（同时自行考虑现场装卸措施）、清点、堆放、验收前保管、改造、安装、调试、检验、检测、验收合格、保险、垃圾清运、操作培训、水电使用及之前所有含税费用，投标报价还包含投标人应当提供的伴随服务，售后服务、质保期间内维修费等一切费用。投标人不得再向采购人收取任何费用。</w:t>
      </w:r>
    </w:p>
    <w:p w14:paraId="069F2AF3">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2、投标报价方式：本项目采用固定</w:t>
      </w:r>
      <w:r>
        <w:rPr>
          <w:rFonts w:hint="eastAsia" w:ascii="宋体" w:hAnsi="宋体" w:cs="宋体"/>
          <w:bCs/>
          <w:color w:val="auto"/>
          <w:kern w:val="0"/>
          <w:szCs w:val="21"/>
          <w:highlight w:val="none"/>
          <w:shd w:val="clear" w:color="auto" w:fill="FFFFFF"/>
          <w:lang w:val="en-US" w:eastAsia="zh-CN"/>
        </w:rPr>
        <w:t>总</w:t>
      </w:r>
      <w:r>
        <w:rPr>
          <w:rFonts w:hint="eastAsia" w:ascii="宋体" w:hAnsi="宋体" w:eastAsia="宋体" w:cs="宋体"/>
          <w:bCs/>
          <w:color w:val="auto"/>
          <w:kern w:val="0"/>
          <w:szCs w:val="21"/>
          <w:highlight w:val="none"/>
          <w:shd w:val="clear" w:color="auto" w:fill="FFFFFF"/>
        </w:rPr>
        <w:t>价报价。投标人报价时应充分考虑材料、劳务、相应的保险、赔偿及所需的全部费用的市场风险系数及天气变化，采取的临时措施的费用，并计入总价，今后不做调整。</w:t>
      </w:r>
    </w:p>
    <w:p w14:paraId="440F9032">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3、投标人必须按照招标文件要求对所有货物的各个参数指标作出应答，任何偏</w:t>
      </w:r>
      <w:r>
        <w:rPr>
          <w:rFonts w:hint="eastAsia" w:ascii="宋体" w:hAnsi="宋体" w:cs="宋体"/>
          <w:bCs/>
          <w:color w:val="auto"/>
          <w:kern w:val="0"/>
          <w:szCs w:val="21"/>
          <w:highlight w:val="none"/>
          <w:shd w:val="clear" w:color="auto" w:fill="FFFFFF"/>
          <w:lang w:val="en-US" w:eastAsia="zh-CN"/>
        </w:rPr>
        <w:t>离</w:t>
      </w:r>
      <w:r>
        <w:rPr>
          <w:rFonts w:hint="eastAsia" w:ascii="宋体" w:hAnsi="宋体" w:eastAsia="宋体" w:cs="宋体"/>
          <w:bCs/>
          <w:color w:val="auto"/>
          <w:kern w:val="0"/>
          <w:szCs w:val="21"/>
          <w:highlight w:val="none"/>
          <w:shd w:val="clear" w:color="auto" w:fill="FFFFFF"/>
        </w:rPr>
        <w:t>都必须列入偏离表中。</w:t>
      </w:r>
    </w:p>
    <w:p w14:paraId="203AAFAC">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六</w:t>
      </w:r>
      <w:r>
        <w:rPr>
          <w:rFonts w:hint="eastAsia" w:ascii="宋体" w:hAnsi="宋体" w:cs="宋体"/>
          <w:b/>
          <w:bCs/>
          <w:color w:val="auto"/>
          <w:szCs w:val="21"/>
          <w:highlight w:val="none"/>
        </w:rPr>
        <w:t>、质量要求</w:t>
      </w:r>
    </w:p>
    <w:p w14:paraId="76181D50">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1、应保证货物为全新、未使用的符合国家质量标准的合格品。</w:t>
      </w:r>
    </w:p>
    <w:p w14:paraId="4F1AEFBE">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2、货物技术要求：所有货物的生产、制造、安装等各项技术标准，应当符合国家（强制性）标准、各项规范要求；国家没有相应标准、规范的，可使用行业标准、规定；非标设备按招标约定的技术要求和规范。</w:t>
      </w:r>
    </w:p>
    <w:p w14:paraId="7ED82A6F">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七</w:t>
      </w:r>
      <w:r>
        <w:rPr>
          <w:rFonts w:hint="eastAsia" w:ascii="宋体" w:hAnsi="宋体" w:cs="宋体"/>
          <w:b/>
          <w:bCs/>
          <w:color w:val="auto"/>
          <w:szCs w:val="21"/>
          <w:highlight w:val="none"/>
        </w:rPr>
        <w:t>、交货及验收要求</w:t>
      </w:r>
    </w:p>
    <w:p w14:paraId="16C1E98D">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1、中标人应严格按照招标文件的有关规定提供合格货物，保证货物为全新、未使用的原装正品；除有特殊要求的外，其余均为标准配置；货物上均有合格证；</w:t>
      </w:r>
    </w:p>
    <w:p w14:paraId="2FF87DB9">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2、货物验收地点即为到货地点。验收时，供需双方派员一起当场开箱验货，</w:t>
      </w:r>
      <w:r>
        <w:rPr>
          <w:rFonts w:hint="eastAsia" w:ascii="宋体" w:hAnsi="宋体" w:cs="宋体"/>
          <w:bCs/>
          <w:color w:val="auto"/>
          <w:kern w:val="0"/>
          <w:szCs w:val="21"/>
          <w:highlight w:val="none"/>
          <w:shd w:val="clear" w:color="auto" w:fill="FFFFFF"/>
          <w:lang w:val="en-US" w:eastAsia="zh-CN"/>
        </w:rPr>
        <w:t>必要时</w:t>
      </w:r>
      <w:r>
        <w:rPr>
          <w:rFonts w:hint="eastAsia" w:ascii="宋体" w:hAnsi="宋体" w:eastAsia="宋体" w:cs="宋体"/>
          <w:bCs/>
          <w:color w:val="auto"/>
          <w:kern w:val="0"/>
          <w:szCs w:val="21"/>
          <w:highlight w:val="none"/>
          <w:shd w:val="clear" w:color="auto" w:fill="FFFFFF"/>
        </w:rPr>
        <w:t>请第三方公司</w:t>
      </w:r>
      <w:r>
        <w:rPr>
          <w:rFonts w:hint="eastAsia" w:ascii="宋体" w:hAnsi="宋体" w:cs="宋体"/>
          <w:bCs/>
          <w:color w:val="auto"/>
          <w:kern w:val="0"/>
          <w:szCs w:val="21"/>
          <w:highlight w:val="none"/>
          <w:shd w:val="clear" w:color="auto" w:fill="FFFFFF"/>
          <w:lang w:val="en-US" w:eastAsia="zh-CN"/>
        </w:rPr>
        <w:t>进行</w:t>
      </w:r>
      <w:r>
        <w:rPr>
          <w:rFonts w:hint="eastAsia" w:ascii="宋体" w:hAnsi="宋体" w:eastAsia="宋体" w:cs="宋体"/>
          <w:bCs/>
          <w:color w:val="auto"/>
          <w:kern w:val="0"/>
          <w:szCs w:val="21"/>
          <w:highlight w:val="none"/>
          <w:shd w:val="clear" w:color="auto" w:fill="FFFFFF"/>
        </w:rPr>
        <w:t>验收</w:t>
      </w:r>
      <w:r>
        <w:rPr>
          <w:rFonts w:hint="eastAsia" w:ascii="宋体" w:hAnsi="宋体" w:cs="宋体"/>
          <w:bCs/>
          <w:color w:val="auto"/>
          <w:kern w:val="0"/>
          <w:szCs w:val="21"/>
          <w:highlight w:val="none"/>
          <w:shd w:val="clear" w:color="auto" w:fill="FFFFFF"/>
          <w:lang w:eastAsia="zh-CN"/>
        </w:rPr>
        <w:t>，</w:t>
      </w:r>
      <w:r>
        <w:rPr>
          <w:rFonts w:hint="eastAsia" w:ascii="宋体" w:hAnsi="宋体" w:cs="宋体"/>
          <w:bCs/>
          <w:color w:val="auto"/>
          <w:kern w:val="0"/>
          <w:szCs w:val="21"/>
          <w:highlight w:val="none"/>
          <w:shd w:val="clear" w:color="auto" w:fill="FFFFFF"/>
          <w:lang w:val="en-US" w:eastAsia="zh-CN"/>
        </w:rPr>
        <w:t>费用由中标人承担。</w:t>
      </w:r>
      <w:r>
        <w:rPr>
          <w:rFonts w:hint="eastAsia" w:ascii="宋体" w:hAnsi="宋体" w:eastAsia="宋体" w:cs="宋体"/>
          <w:bCs/>
          <w:color w:val="auto"/>
          <w:kern w:val="0"/>
          <w:szCs w:val="21"/>
          <w:highlight w:val="none"/>
          <w:shd w:val="clear" w:color="auto" w:fill="FFFFFF"/>
        </w:rPr>
        <w:t>如发现货物短缺、质次、损坏和规格不符等问题，应做详细记录，由中标人立即无条件为采购人调换或补齐，同时由中标人承担因此而产生的一切后果；</w:t>
      </w:r>
    </w:p>
    <w:p w14:paraId="46F5AF59">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3、交货期限：合同生效后</w:t>
      </w:r>
      <w:r>
        <w:rPr>
          <w:rFonts w:hint="eastAsia" w:ascii="宋体" w:hAnsi="宋体" w:cs="宋体"/>
          <w:bCs/>
          <w:color w:val="auto"/>
          <w:kern w:val="0"/>
          <w:szCs w:val="21"/>
          <w:highlight w:val="none"/>
          <w:shd w:val="clear" w:color="auto" w:fill="FFFFFF"/>
          <w:lang w:val="en-US" w:eastAsia="zh-CN"/>
        </w:rPr>
        <w:t>按照</w:t>
      </w:r>
      <w:r>
        <w:rPr>
          <w:rFonts w:hint="eastAsia" w:ascii="宋体" w:hAnsi="宋体" w:eastAsia="宋体" w:cs="宋体"/>
          <w:bCs/>
          <w:color w:val="auto"/>
          <w:kern w:val="0"/>
          <w:szCs w:val="21"/>
          <w:highlight w:val="none"/>
          <w:shd w:val="clear" w:color="auto" w:fill="FFFFFF"/>
        </w:rPr>
        <w:t>中标人</w:t>
      </w:r>
      <w:r>
        <w:rPr>
          <w:rFonts w:hint="eastAsia" w:ascii="宋体" w:hAnsi="宋体" w:cs="宋体"/>
          <w:bCs/>
          <w:color w:val="auto"/>
          <w:kern w:val="0"/>
          <w:szCs w:val="21"/>
          <w:highlight w:val="none"/>
          <w:shd w:val="clear" w:color="auto" w:fill="FFFFFF"/>
          <w:lang w:val="en-US" w:eastAsia="zh-CN"/>
        </w:rPr>
        <w:t>响应</w:t>
      </w:r>
      <w:r>
        <w:rPr>
          <w:rFonts w:hint="eastAsia" w:ascii="宋体" w:hAnsi="宋体" w:eastAsia="宋体" w:cs="宋体"/>
          <w:bCs/>
          <w:color w:val="auto"/>
          <w:kern w:val="0"/>
          <w:szCs w:val="21"/>
          <w:highlight w:val="none"/>
          <w:shd w:val="clear" w:color="auto" w:fill="FFFFFF"/>
        </w:rPr>
        <w:t>的时间内货物交项目现场。如不能如期供货，采购人有权终止合同，中标人须承担由此对采购人造成的损失；</w:t>
      </w:r>
    </w:p>
    <w:p w14:paraId="35C6597A">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4、交货地点：采购人指定地点；</w:t>
      </w:r>
    </w:p>
    <w:p w14:paraId="27CA09D3">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5、货物的验收包括：数量、外观、质量、性能、质保单、包装和中标人承诺的其他指标；</w:t>
      </w:r>
    </w:p>
    <w:p w14:paraId="775B8615">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6、验收标准：中标人提供的货物必须符合我国最新颁布的与之相关的技术规范与标准，同时须满足招标文件中所列全部规格、技术条件及功能要求等和中标人承诺的其他指标；</w:t>
      </w:r>
    </w:p>
    <w:p w14:paraId="2E9C8B9F">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7、中标人交付验收时应书面、电传等方式通告采购人。</w:t>
      </w:r>
    </w:p>
    <w:p w14:paraId="0414ACA1">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八</w:t>
      </w:r>
      <w:r>
        <w:rPr>
          <w:rFonts w:hint="eastAsia" w:ascii="宋体" w:hAnsi="宋体" w:cs="宋体"/>
          <w:b/>
          <w:bCs/>
          <w:color w:val="auto"/>
          <w:szCs w:val="21"/>
          <w:highlight w:val="none"/>
        </w:rPr>
        <w:t>、售后服务要求</w:t>
      </w:r>
    </w:p>
    <w:p w14:paraId="5E662502">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1、</w:t>
      </w:r>
      <w:r>
        <w:rPr>
          <w:rFonts w:hint="eastAsia" w:ascii="宋体" w:hAnsi="宋体" w:eastAsia="宋体" w:cs="宋体"/>
          <w:bCs/>
          <w:color w:val="auto"/>
          <w:kern w:val="0"/>
          <w:szCs w:val="21"/>
          <w:highlight w:val="none"/>
          <w:shd w:val="clear" w:color="auto" w:fill="FFFFFF"/>
        </w:rPr>
        <w:t>投标人应以优惠价格提供在货物验收合格后的零配件供应；</w:t>
      </w:r>
    </w:p>
    <w:p w14:paraId="4AE8019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2、</w:t>
      </w:r>
      <w:r>
        <w:rPr>
          <w:rFonts w:hint="eastAsia" w:ascii="宋体" w:hAnsi="宋体" w:eastAsia="宋体" w:cs="宋体"/>
          <w:bCs/>
          <w:color w:val="auto"/>
          <w:kern w:val="0"/>
          <w:szCs w:val="21"/>
          <w:highlight w:val="none"/>
          <w:shd w:val="clear" w:color="auto" w:fill="FFFFFF"/>
        </w:rPr>
        <w:t>投标人必须明确作出服务承诺，详细阐述服务方式和范围；</w:t>
      </w:r>
    </w:p>
    <w:p w14:paraId="1AF4368D">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3、</w:t>
      </w:r>
      <w:r>
        <w:rPr>
          <w:rFonts w:hint="eastAsia" w:ascii="宋体" w:hAnsi="宋体" w:eastAsia="宋体" w:cs="宋体"/>
          <w:bCs/>
          <w:color w:val="auto"/>
          <w:kern w:val="0"/>
          <w:szCs w:val="21"/>
          <w:highlight w:val="none"/>
          <w:shd w:val="clear" w:color="auto" w:fill="FFFFFF"/>
        </w:rPr>
        <w:t>中标人应保证采购人免除且中标人承担由于采购人在其本国使用该产品时而引起第三方提出的侵犯其专利权、商标权或设计权的起诉、行动、行政程序索赔、请求等以及采购人为此而产生的损失和损害、费用和支出，包括律师费用；</w:t>
      </w:r>
    </w:p>
    <w:p w14:paraId="19F80C7E">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4、</w:t>
      </w:r>
      <w:r>
        <w:rPr>
          <w:rFonts w:hint="eastAsia" w:ascii="宋体" w:hAnsi="宋体" w:eastAsia="宋体" w:cs="宋体"/>
          <w:bCs/>
          <w:color w:val="auto"/>
          <w:kern w:val="0"/>
          <w:szCs w:val="21"/>
          <w:highlight w:val="none"/>
          <w:shd w:val="clear" w:color="auto" w:fill="FFFFFF"/>
        </w:rPr>
        <w:t>中标人免费对采购人技术人员进行操作、保养、维修等方面的培训，并且提供免费的技术咨询服务；</w:t>
      </w:r>
    </w:p>
    <w:p w14:paraId="2EAB2601">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5、</w:t>
      </w:r>
      <w:r>
        <w:rPr>
          <w:rFonts w:hint="eastAsia" w:ascii="宋体" w:hAnsi="宋体" w:eastAsia="宋体" w:cs="宋体"/>
          <w:bCs/>
          <w:color w:val="auto"/>
          <w:kern w:val="0"/>
          <w:szCs w:val="21"/>
          <w:highlight w:val="none"/>
          <w:shd w:val="clear" w:color="auto" w:fill="FFFFFF"/>
        </w:rPr>
        <w:t>出现故障或者需要维修时，中标人在接到通知后2小时内到达现场，24小时内处理完毕；</w:t>
      </w:r>
    </w:p>
    <w:p w14:paraId="3E7E5E0E">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6、</w:t>
      </w:r>
      <w:r>
        <w:rPr>
          <w:rFonts w:hint="eastAsia" w:ascii="宋体" w:hAnsi="宋体" w:eastAsia="宋体" w:cs="宋体"/>
          <w:bCs/>
          <w:color w:val="auto"/>
          <w:kern w:val="0"/>
          <w:szCs w:val="21"/>
          <w:highlight w:val="none"/>
          <w:shd w:val="clear" w:color="auto" w:fill="FFFFFF"/>
        </w:rPr>
        <w:t>质保期内，由于质量问题造成的产品损坏，中标人应免费维修或更换。如果原厂方鉴定设备因为人为损坏，厂方须出具具有法定权威性第三方检测证明，否则一律视为保修范围内容处理。对于其他原因造成的损坏，中标人有义务对损坏的硬件有偿更换。产品质保期内，确属产品质量问题，经维修人员修理后仍达不到质量要求的产品应包退包换</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中标人的承诺高于此要求的，按中标人的承诺执行；</w:t>
      </w:r>
    </w:p>
    <w:p w14:paraId="6C4FD3D9">
      <w:pPr>
        <w:pStyle w:val="54"/>
        <w:keepNext w:val="0"/>
        <w:keepLines w:val="0"/>
        <w:pageBreakBefore w:val="0"/>
        <w:widowControl/>
        <w:kinsoku/>
        <w:wordWrap/>
        <w:overflowPunct/>
        <w:topLinePunct w:val="0"/>
        <w:autoSpaceDE/>
        <w:autoSpaceDN/>
        <w:bidi w:val="0"/>
        <w:adjustRightInd/>
        <w:snapToGrid/>
        <w:spacing w:line="300" w:lineRule="auto"/>
        <w:ind w:left="0" w:leftChars="0"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7、</w:t>
      </w:r>
      <w:r>
        <w:rPr>
          <w:rFonts w:hint="eastAsia" w:ascii="宋体" w:hAnsi="宋体" w:eastAsia="宋体" w:cs="宋体"/>
          <w:bCs/>
          <w:color w:val="auto"/>
          <w:kern w:val="0"/>
          <w:szCs w:val="21"/>
          <w:highlight w:val="none"/>
          <w:shd w:val="clear" w:color="auto" w:fill="FFFFFF"/>
        </w:rPr>
        <w:t>在保修期结束前，由中标人、采购人对所供货物进行一次全面检查，任何缺陷必须由中标人负责修理，修复后中标人应将缺陷原因、修理内容、完成修理及恢复正常的时间和日期等情况书面汇报给采购人。</w:t>
      </w:r>
    </w:p>
    <w:p w14:paraId="36DA1B02">
      <w:pPr>
        <w:pStyle w:val="54"/>
        <w:keepNext w:val="0"/>
        <w:keepLines w:val="0"/>
        <w:pageBreakBefore w:val="0"/>
        <w:widowControl/>
        <w:kinsoku/>
        <w:wordWrap/>
        <w:overflowPunct/>
        <w:topLinePunct w:val="0"/>
        <w:autoSpaceDE/>
        <w:autoSpaceDN/>
        <w:bidi w:val="0"/>
        <w:adjustRightInd/>
        <w:snapToGrid/>
        <w:spacing w:line="300" w:lineRule="auto"/>
        <w:ind w:left="0" w:leftChars="0" w:firstLine="420" w:firstLineChars="200"/>
        <w:textAlignment w:val="auto"/>
        <w:rPr>
          <w:rFonts w:hint="eastAsia" w:ascii="宋体" w:hAnsi="宋体" w:cs="宋体"/>
          <w:bCs/>
          <w:color w:val="auto"/>
          <w:kern w:val="0"/>
          <w:szCs w:val="21"/>
          <w:highlight w:val="none"/>
          <w:shd w:val="clear" w:color="auto" w:fill="FFFFFF"/>
          <w:lang w:val="en-US" w:eastAsia="zh-CN"/>
        </w:rPr>
      </w:pPr>
      <w:r>
        <w:rPr>
          <w:rFonts w:hint="eastAsia" w:ascii="宋体" w:hAnsi="宋体" w:cs="宋体"/>
          <w:bCs/>
          <w:color w:val="auto"/>
          <w:kern w:val="0"/>
          <w:szCs w:val="21"/>
          <w:highlight w:val="none"/>
          <w:shd w:val="clear" w:color="auto" w:fill="FFFFFF"/>
          <w:lang w:val="en-US" w:eastAsia="zh-CN"/>
        </w:rPr>
        <w:t>8、在保修期外，供应商为设备提供终身维修服务，维修问题出现时，按技术参数服务要求相应条款处理。</w:t>
      </w:r>
    </w:p>
    <w:p w14:paraId="214806B3">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九</w:t>
      </w:r>
      <w:r>
        <w:rPr>
          <w:rFonts w:hint="eastAsia" w:ascii="宋体" w:hAnsi="宋体" w:cs="宋体"/>
          <w:b/>
          <w:bCs/>
          <w:color w:val="auto"/>
          <w:szCs w:val="21"/>
          <w:highlight w:val="none"/>
        </w:rPr>
        <w:t>、其他</w:t>
      </w:r>
    </w:p>
    <w:p w14:paraId="34567591">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1、中标人与采购人签订供货合同，服务期内根据采购人需求供货，如中标人无法按采购人要求供货的，则取消中标资格（采购人变更采购要求的除外），并承担由此产生的一切责任和经济损失。</w:t>
      </w:r>
    </w:p>
    <w:p w14:paraId="03DB06E6">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货物由中标人运至采购人指定地点，验收交货前存放及保管概由中标人负责。货物材料的包装均应有良好的防湿、防锈、防潮、防雨、防腐及防碰撞的措施。凡由于包装不良造成的损失和由此产生的费用均由中标人承担。</w:t>
      </w:r>
    </w:p>
    <w:p w14:paraId="53C14A02">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3、中标人必须加强管理，遵守现场的一切规章制度，注意安全；供货期间，必须服从采购人管理，货物进场须采购人验货；中标人在运输装卸途中对其他设备及邻近管线等造成损坏，应由中标人负责修复及承担一切费用；无论供货期间或退换过程中，中标人负责及时清理垃圾。</w:t>
      </w:r>
    </w:p>
    <w:p w14:paraId="21AA920C">
      <w:pPr>
        <w:pStyle w:val="37"/>
        <w:keepNext w:val="0"/>
        <w:keepLines w:val="0"/>
        <w:pageBreakBefore w:val="0"/>
        <w:kinsoku/>
        <w:wordWrap/>
        <w:overflowPunct/>
        <w:topLinePunct w:val="0"/>
        <w:autoSpaceDE/>
        <w:autoSpaceDN/>
        <w:bidi w:val="0"/>
        <w:adjustRightInd/>
        <w:snapToGrid/>
        <w:spacing w:after="0" w:line="300" w:lineRule="auto"/>
        <w:ind w:left="0" w:leftChars="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4、</w:t>
      </w:r>
      <w:r>
        <w:rPr>
          <w:rFonts w:hint="eastAsia" w:ascii="宋体" w:hAnsi="宋体" w:eastAsia="宋体" w:cs="宋体"/>
          <w:color w:val="auto"/>
          <w:szCs w:val="21"/>
          <w:highlight w:val="none"/>
        </w:rPr>
        <w:t>采购人有权对中标人进行现场考察。</w:t>
      </w:r>
    </w:p>
    <w:p w14:paraId="4E9A8AA6">
      <w:pPr>
        <w:rPr>
          <w:rFonts w:hint="eastAsia" w:ascii="宋体" w:hAnsi="宋体"/>
          <w:color w:val="auto"/>
          <w:highlight w:val="none"/>
        </w:rPr>
      </w:pPr>
      <w:r>
        <w:rPr>
          <w:rFonts w:hint="eastAsia" w:ascii="宋体" w:hAnsi="宋体"/>
          <w:color w:val="auto"/>
          <w:highlight w:val="none"/>
        </w:rPr>
        <w:br w:type="page"/>
      </w:r>
    </w:p>
    <w:p w14:paraId="2854B39E">
      <w:pPr>
        <w:pStyle w:val="2"/>
        <w:keepNext/>
        <w:keepLines/>
        <w:pageBreakBefore w:val="0"/>
        <w:widowControl w:val="0"/>
        <w:kinsoku/>
        <w:wordWrap/>
        <w:overflowPunct/>
        <w:topLinePunct w:val="0"/>
        <w:autoSpaceDE/>
        <w:autoSpaceDN/>
        <w:bidi w:val="0"/>
        <w:adjustRightInd w:val="0"/>
        <w:snapToGrid w:val="0"/>
        <w:spacing w:before="0" w:after="0" w:line="440" w:lineRule="exact"/>
        <w:jc w:val="center"/>
        <w:textAlignment w:val="auto"/>
        <w:rPr>
          <w:rFonts w:hint="eastAsia" w:ascii="宋体" w:hAnsi="宋体" w:eastAsia="宋体" w:cs="宋体"/>
          <w:b/>
          <w:bCs/>
          <w:color w:val="auto"/>
          <w:sz w:val="28"/>
          <w:szCs w:val="28"/>
          <w:highlight w:val="none"/>
          <w:lang w:val="en-US" w:eastAsia="zh-CN"/>
        </w:rPr>
      </w:pPr>
      <w:bookmarkStart w:id="66" w:name="_Toc17974"/>
      <w:bookmarkStart w:id="67" w:name="_Toc13838"/>
      <w:r>
        <w:rPr>
          <w:rFonts w:hint="eastAsia" w:ascii="宋体" w:hAnsi="宋体" w:eastAsia="宋体" w:cs="宋体"/>
          <w:b/>
          <w:bCs/>
          <w:color w:val="auto"/>
          <w:sz w:val="28"/>
          <w:szCs w:val="28"/>
          <w:highlight w:val="none"/>
          <w:lang w:val="en-US" w:eastAsia="zh-CN"/>
        </w:rPr>
        <w:t>第五章 评标方法及评标标准</w:t>
      </w:r>
      <w:bookmarkEnd w:id="65"/>
      <w:bookmarkEnd w:id="66"/>
      <w:bookmarkEnd w:id="67"/>
    </w:p>
    <w:p w14:paraId="6E7E99C1">
      <w:pPr>
        <w:spacing w:line="360" w:lineRule="auto"/>
        <w:jc w:val="left"/>
        <w:rPr>
          <w:rFonts w:hint="eastAsia" w:ascii="宋体" w:hAnsi="宋体" w:cs="宋体"/>
          <w:bCs/>
          <w:color w:val="auto"/>
          <w:szCs w:val="21"/>
          <w:highlight w:val="none"/>
        </w:rPr>
      </w:pPr>
      <w:bookmarkStart w:id="68" w:name="_Toc16042"/>
      <w:r>
        <w:rPr>
          <w:rFonts w:hint="eastAsia" w:ascii="宋体" w:hAnsi="宋体" w:cs="宋体"/>
          <w:bCs/>
          <w:color w:val="auto"/>
          <w:szCs w:val="21"/>
          <w:highlight w:val="none"/>
        </w:rPr>
        <w:t>一、评标方法</w:t>
      </w:r>
      <w:bookmarkEnd w:id="68"/>
    </w:p>
    <w:p w14:paraId="1DADEC55">
      <w:pPr>
        <w:spacing w:line="360" w:lineRule="auto"/>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评委会将对确定为实质性响应采购文件要求的投标文件进行评价和比较，评标采用综合评分法。</w:t>
      </w:r>
    </w:p>
    <w:p w14:paraId="1EDFE30E">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二、评标标准</w:t>
      </w:r>
    </w:p>
    <w:p w14:paraId="1238A8DE">
      <w:pPr>
        <w:spacing w:line="360" w:lineRule="auto"/>
        <w:ind w:firstLine="420"/>
        <w:jc w:val="lef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本项目采用综合评分法，总分为100分，按评审后综合得分由高到低顺序排列。综合得分相同的，按投标报价由低到高顺序排列；价格分也相同的，按技术部分得分由高到低顺序排列；分值均相同的，则由评标委员会决定排列顺序。由评标委员会推荐3名成交候选人。具体评审办法如下：</w:t>
      </w:r>
    </w:p>
    <w:tbl>
      <w:tblPr>
        <w:tblStyle w:val="38"/>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4"/>
        <w:gridCol w:w="894"/>
        <w:gridCol w:w="7577"/>
      </w:tblGrid>
      <w:tr w14:paraId="7FAC0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1618" w:type="dxa"/>
            <w:gridSpan w:val="2"/>
            <w:noWrap w:val="0"/>
            <w:vAlign w:val="center"/>
          </w:tcPr>
          <w:p w14:paraId="7B49467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评审因素</w:t>
            </w:r>
          </w:p>
        </w:tc>
        <w:tc>
          <w:tcPr>
            <w:tcW w:w="7577" w:type="dxa"/>
            <w:noWrap w:val="0"/>
            <w:vAlign w:val="center"/>
          </w:tcPr>
          <w:p w14:paraId="269D384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评审标准</w:t>
            </w:r>
          </w:p>
        </w:tc>
      </w:tr>
      <w:tr w14:paraId="07C31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724" w:type="dxa"/>
            <w:tcBorders>
              <w:right w:val="single" w:color="auto" w:sz="4" w:space="0"/>
            </w:tcBorders>
            <w:shd w:val="clear" w:color="auto" w:fill="auto"/>
            <w:noWrap w:val="0"/>
            <w:vAlign w:val="center"/>
          </w:tcPr>
          <w:p w14:paraId="52A546F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价格</w:t>
            </w:r>
            <w:r>
              <w:rPr>
                <w:rFonts w:hint="eastAsia" w:ascii="宋体" w:hAnsi="宋体" w:cs="宋体"/>
                <w:color w:val="auto"/>
                <w:szCs w:val="24"/>
                <w:highlight w:val="none"/>
                <w:lang w:val="en-US" w:eastAsia="zh-CN"/>
              </w:rPr>
              <w:t>部分（30分）</w:t>
            </w:r>
          </w:p>
        </w:tc>
        <w:tc>
          <w:tcPr>
            <w:tcW w:w="894" w:type="dxa"/>
            <w:tcBorders>
              <w:left w:val="single" w:color="auto" w:sz="4" w:space="0"/>
            </w:tcBorders>
            <w:shd w:val="clear" w:color="auto" w:fill="auto"/>
            <w:noWrap w:val="0"/>
            <w:vAlign w:val="center"/>
          </w:tcPr>
          <w:p w14:paraId="2A69930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价格</w:t>
            </w:r>
            <w:r>
              <w:rPr>
                <w:rFonts w:hint="eastAsia" w:ascii="宋体" w:hAnsi="宋体" w:cs="宋体"/>
                <w:color w:val="auto"/>
                <w:szCs w:val="24"/>
                <w:highlight w:val="none"/>
                <w:lang w:val="en-US" w:eastAsia="zh-CN"/>
              </w:rPr>
              <w:t>分（30分）</w:t>
            </w:r>
          </w:p>
        </w:tc>
        <w:tc>
          <w:tcPr>
            <w:tcW w:w="7577" w:type="dxa"/>
            <w:shd w:val="clear" w:color="auto" w:fill="auto"/>
            <w:noWrap w:val="0"/>
            <w:vAlign w:val="center"/>
          </w:tcPr>
          <w:p w14:paraId="50296B9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 w:val="21"/>
                <w:szCs w:val="24"/>
                <w:highlight w:val="none"/>
                <w:lang w:val="en-US" w:eastAsia="zh-CN" w:bidi="ar-SA"/>
              </w:rPr>
            </w:pPr>
            <w:r>
              <w:rPr>
                <w:rFonts w:hint="eastAsia" w:ascii="宋体" w:hAnsi="宋体" w:eastAsia="宋体" w:cs="宋体"/>
                <w:b w:val="0"/>
                <w:bCs/>
                <w:color w:val="auto"/>
                <w:szCs w:val="24"/>
                <w:highlight w:val="none"/>
              </w:rPr>
              <w:t>满足招标文件要求且投标价格最低的投标报价为评标基准价，其价格分为满分30分，其他投标人的价格分按照下列公式计算：投标报价得分=（评标基准价/投标报价）×30，即满足招标文件要求且投标价格最低的得30分。</w:t>
            </w:r>
          </w:p>
        </w:tc>
      </w:tr>
      <w:tr w14:paraId="412B9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724" w:type="dxa"/>
            <w:tcBorders>
              <w:right w:val="single" w:color="auto" w:sz="4" w:space="0"/>
            </w:tcBorders>
            <w:shd w:val="clear" w:color="auto" w:fill="auto"/>
            <w:noWrap w:val="0"/>
            <w:vAlign w:val="center"/>
          </w:tcPr>
          <w:p w14:paraId="66CB218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bCs/>
                <w:color w:val="auto"/>
                <w:szCs w:val="21"/>
                <w:highlight w:val="none"/>
                <w:lang w:val="en-US" w:eastAsia="zh-CN"/>
              </w:rPr>
              <w:t>商务</w:t>
            </w:r>
            <w:r>
              <w:rPr>
                <w:rFonts w:hint="eastAsia" w:ascii="宋体" w:hAnsi="宋体" w:eastAsia="宋体" w:cs="宋体"/>
                <w:bCs/>
                <w:color w:val="auto"/>
                <w:szCs w:val="21"/>
                <w:highlight w:val="none"/>
              </w:rPr>
              <w:t>部分</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5分</w:t>
            </w:r>
            <w:r>
              <w:rPr>
                <w:rFonts w:hint="eastAsia" w:ascii="宋体" w:hAnsi="宋体" w:cs="宋体"/>
                <w:bCs/>
                <w:color w:val="auto"/>
                <w:szCs w:val="21"/>
                <w:highlight w:val="none"/>
                <w:lang w:eastAsia="zh-CN"/>
              </w:rPr>
              <w:t>）</w:t>
            </w:r>
          </w:p>
        </w:tc>
        <w:tc>
          <w:tcPr>
            <w:tcW w:w="894" w:type="dxa"/>
            <w:tcBorders>
              <w:left w:val="single" w:color="auto" w:sz="4" w:space="0"/>
            </w:tcBorders>
            <w:shd w:val="clear" w:color="auto" w:fill="auto"/>
            <w:noWrap w:val="0"/>
            <w:vAlign w:val="center"/>
          </w:tcPr>
          <w:p w14:paraId="2AB470C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业绩</w:t>
            </w: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5分</w:t>
            </w:r>
            <w:r>
              <w:rPr>
                <w:rFonts w:hint="eastAsia" w:ascii="宋体" w:hAnsi="宋体" w:cs="宋体"/>
                <w:color w:val="auto"/>
                <w:szCs w:val="24"/>
                <w:highlight w:val="none"/>
                <w:lang w:eastAsia="zh-CN"/>
              </w:rPr>
              <w:t>）</w:t>
            </w:r>
          </w:p>
        </w:tc>
        <w:tc>
          <w:tcPr>
            <w:tcW w:w="7577" w:type="dxa"/>
            <w:shd w:val="clear" w:color="auto" w:fill="auto"/>
            <w:noWrap w:val="0"/>
            <w:vAlign w:val="center"/>
          </w:tcPr>
          <w:p w14:paraId="1DD2718B">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olor w:val="auto"/>
                <w:highlight w:val="none"/>
              </w:rPr>
              <w:t>投标人或制造商</w:t>
            </w:r>
            <w:r>
              <w:rPr>
                <w:rFonts w:hint="eastAsia" w:ascii="宋体" w:hAnsi="宋体" w:cs="宋体"/>
                <w:b w:val="0"/>
                <w:bCs/>
                <w:color w:val="auto"/>
                <w:szCs w:val="24"/>
                <w:highlight w:val="none"/>
                <w:lang w:val="en-US" w:eastAsia="zh-CN"/>
              </w:rPr>
              <w:t>自</w:t>
            </w:r>
            <w:r>
              <w:rPr>
                <w:rFonts w:hint="eastAsia" w:ascii="宋体" w:hAnsi="宋体" w:eastAsia="宋体" w:cs="宋体"/>
                <w:b w:val="0"/>
                <w:bCs/>
                <w:color w:val="auto"/>
                <w:szCs w:val="24"/>
                <w:highlight w:val="none"/>
              </w:rPr>
              <w:t>2022年1月1日以来</w:t>
            </w:r>
            <w:r>
              <w:rPr>
                <w:rFonts w:hint="eastAsia" w:ascii="宋体" w:hAnsi="宋体" w:cs="宋体"/>
                <w:b w:val="0"/>
                <w:bCs/>
                <w:color w:val="auto"/>
                <w:szCs w:val="24"/>
                <w:highlight w:val="none"/>
                <w:lang w:val="en-US" w:eastAsia="zh-CN"/>
              </w:rPr>
              <w:t>具有</w:t>
            </w:r>
            <w:r>
              <w:rPr>
                <w:rFonts w:hint="eastAsia" w:ascii="宋体" w:hAnsi="宋体" w:eastAsia="宋体" w:cs="宋体"/>
                <w:b w:val="0"/>
                <w:bCs/>
                <w:color w:val="auto"/>
                <w:szCs w:val="24"/>
                <w:highlight w:val="none"/>
                <w:lang w:val="en-US" w:eastAsia="zh-CN"/>
              </w:rPr>
              <w:t>与</w:t>
            </w:r>
            <w:r>
              <w:rPr>
                <w:rFonts w:hint="eastAsia" w:ascii="宋体" w:hAnsi="宋体" w:eastAsia="宋体" w:cs="宋体"/>
                <w:b w:val="0"/>
                <w:bCs/>
                <w:color w:val="auto"/>
                <w:szCs w:val="24"/>
                <w:highlight w:val="none"/>
              </w:rPr>
              <w:t>投标产品同类同品牌产品的销售业绩</w:t>
            </w:r>
            <w:r>
              <w:rPr>
                <w:rFonts w:hint="eastAsia" w:ascii="宋体" w:hAnsi="宋体" w:cs="宋体"/>
                <w:b w:val="0"/>
                <w:bCs/>
                <w:color w:val="auto"/>
                <w:szCs w:val="24"/>
                <w:highlight w:val="none"/>
                <w:lang w:eastAsia="zh-CN"/>
              </w:rPr>
              <w:t>，</w:t>
            </w:r>
            <w:r>
              <w:rPr>
                <w:rFonts w:hint="eastAsia" w:ascii="宋体" w:hAnsi="宋体" w:eastAsia="宋体" w:cs="宋体"/>
                <w:b w:val="0"/>
                <w:bCs/>
                <w:color w:val="auto"/>
                <w:szCs w:val="24"/>
                <w:highlight w:val="none"/>
              </w:rPr>
              <w:t>每提供1份合同得1分，最多得5分。</w:t>
            </w:r>
          </w:p>
          <w:p w14:paraId="4739FBA6">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b w:val="0"/>
                <w:bCs/>
                <w:color w:val="auto"/>
                <w:szCs w:val="24"/>
                <w:highlight w:val="none"/>
                <w:lang w:val="en-US" w:eastAsia="zh-CN"/>
              </w:rPr>
            </w:pPr>
            <w:r>
              <w:rPr>
                <w:rFonts w:hint="eastAsia" w:ascii="宋体" w:hAnsi="宋体" w:cs="宋体"/>
                <w:b w:val="0"/>
                <w:bCs/>
                <w:color w:val="auto"/>
                <w:szCs w:val="24"/>
                <w:highlight w:val="none"/>
                <w:lang w:val="en-US" w:eastAsia="zh-CN"/>
              </w:rPr>
              <w:t>注：</w:t>
            </w:r>
            <w:r>
              <w:rPr>
                <w:rFonts w:hint="eastAsia" w:cs="宋体"/>
                <w:color w:val="auto"/>
                <w:szCs w:val="21"/>
                <w:highlight w:val="none"/>
                <w:lang w:val="en-US" w:eastAsia="zh-CN"/>
              </w:rPr>
              <w:t>投标文件中须</w:t>
            </w:r>
            <w:r>
              <w:rPr>
                <w:rFonts w:ascii="宋体" w:hAnsi="宋体" w:eastAsia="宋体"/>
                <w:color w:val="auto"/>
                <w:sz w:val="21"/>
                <w:szCs w:val="21"/>
                <w:highlight w:val="none"/>
              </w:rPr>
              <w:t>提供合同</w:t>
            </w:r>
            <w:r>
              <w:rPr>
                <w:rFonts w:hint="eastAsia"/>
                <w:color w:val="auto"/>
                <w:sz w:val="21"/>
                <w:szCs w:val="21"/>
                <w:highlight w:val="none"/>
                <w:lang w:val="en-US" w:eastAsia="zh-CN"/>
              </w:rPr>
              <w:t>复印件，</w:t>
            </w:r>
            <w:r>
              <w:rPr>
                <w:rFonts w:hint="eastAsia" w:ascii="宋体" w:hAnsi="宋体" w:eastAsia="宋体" w:cs="宋体"/>
                <w:b w:val="0"/>
                <w:bCs/>
                <w:color w:val="auto"/>
                <w:szCs w:val="24"/>
                <w:highlight w:val="none"/>
                <w:lang w:val="en-US" w:eastAsia="zh-CN"/>
              </w:rPr>
              <w:t>时间以合同签订时间为准</w:t>
            </w:r>
            <w:r>
              <w:rPr>
                <w:rFonts w:ascii="宋体" w:hAnsi="宋体" w:eastAsia="宋体"/>
                <w:color w:val="auto"/>
                <w:sz w:val="21"/>
                <w:szCs w:val="21"/>
                <w:highlight w:val="none"/>
              </w:rPr>
              <w:t>。提供的证明材料</w:t>
            </w:r>
            <w:r>
              <w:rPr>
                <w:rFonts w:hint="eastAsia" w:ascii="宋体" w:hAnsi="宋体" w:eastAsia="宋体"/>
                <w:color w:val="auto"/>
                <w:sz w:val="21"/>
                <w:szCs w:val="21"/>
                <w:highlight w:val="none"/>
                <w:lang w:val="en-US" w:eastAsia="zh-CN"/>
              </w:rPr>
              <w:t>应</w:t>
            </w:r>
            <w:r>
              <w:rPr>
                <w:rFonts w:ascii="宋体" w:hAnsi="宋体" w:eastAsia="宋体"/>
                <w:color w:val="auto"/>
                <w:sz w:val="21"/>
                <w:szCs w:val="21"/>
                <w:highlight w:val="none"/>
              </w:rPr>
              <w:t>能够有效反映相关数据，否则视作未提供</w:t>
            </w:r>
            <w:r>
              <w:rPr>
                <w:rFonts w:hint="eastAsia" w:cs="宋体"/>
                <w:color w:val="auto"/>
                <w:szCs w:val="21"/>
                <w:highlight w:val="none"/>
                <w:lang w:eastAsia="zh-CN"/>
              </w:rPr>
              <w:t>。</w:t>
            </w:r>
          </w:p>
        </w:tc>
      </w:tr>
      <w:tr w14:paraId="50C41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jc w:val="center"/>
        </w:trPr>
        <w:tc>
          <w:tcPr>
            <w:tcW w:w="724" w:type="dxa"/>
            <w:vMerge w:val="restart"/>
            <w:tcBorders>
              <w:right w:val="single" w:color="auto" w:sz="4" w:space="0"/>
            </w:tcBorders>
            <w:shd w:val="clear" w:color="auto" w:fill="auto"/>
            <w:noWrap w:val="0"/>
            <w:vAlign w:val="center"/>
          </w:tcPr>
          <w:p w14:paraId="064ED95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bCs/>
                <w:color w:val="auto"/>
                <w:szCs w:val="21"/>
                <w:highlight w:val="none"/>
              </w:rPr>
              <w:t>技术部分</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64分</w:t>
            </w:r>
            <w:r>
              <w:rPr>
                <w:rFonts w:hint="eastAsia" w:ascii="宋体" w:hAnsi="宋体" w:cs="宋体"/>
                <w:bCs/>
                <w:color w:val="auto"/>
                <w:szCs w:val="21"/>
                <w:highlight w:val="none"/>
                <w:lang w:eastAsia="zh-CN"/>
              </w:rPr>
              <w:t>）</w:t>
            </w:r>
          </w:p>
        </w:tc>
        <w:tc>
          <w:tcPr>
            <w:tcW w:w="894" w:type="dxa"/>
            <w:tcBorders>
              <w:left w:val="single" w:color="auto" w:sz="4" w:space="0"/>
            </w:tcBorders>
            <w:shd w:val="clear" w:color="auto" w:fill="auto"/>
            <w:noWrap w:val="0"/>
            <w:vAlign w:val="center"/>
          </w:tcPr>
          <w:p w14:paraId="010C0AC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技术响应</w:t>
            </w: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36分</w:t>
            </w:r>
            <w:r>
              <w:rPr>
                <w:rFonts w:hint="eastAsia" w:ascii="宋体" w:hAnsi="宋体" w:cs="宋体"/>
                <w:color w:val="auto"/>
                <w:szCs w:val="24"/>
                <w:highlight w:val="none"/>
                <w:lang w:eastAsia="zh-CN"/>
              </w:rPr>
              <w:t>）</w:t>
            </w:r>
          </w:p>
        </w:tc>
        <w:tc>
          <w:tcPr>
            <w:tcW w:w="7577" w:type="dxa"/>
            <w:shd w:val="clear" w:color="auto" w:fill="auto"/>
            <w:noWrap w:val="0"/>
            <w:vAlign w:val="center"/>
          </w:tcPr>
          <w:p w14:paraId="6FFC89A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s="宋体"/>
                <w:color w:val="auto"/>
                <w:szCs w:val="21"/>
                <w:highlight w:val="none"/>
              </w:rPr>
              <w:t>根据对招标文件第四章项目需求“三、技术参数要求”</w:t>
            </w:r>
            <w:r>
              <w:rPr>
                <w:rFonts w:hint="eastAsia" w:ascii="宋体" w:hAnsi="宋体" w:cs="宋体"/>
                <w:color w:val="auto"/>
                <w:szCs w:val="21"/>
                <w:highlight w:val="none"/>
                <w:lang w:val="en-US" w:eastAsia="zh-CN"/>
              </w:rPr>
              <w:t>的响应情况</w:t>
            </w:r>
            <w:r>
              <w:rPr>
                <w:rFonts w:hint="eastAsia" w:ascii="宋体" w:hAnsi="宋体" w:cs="宋体"/>
                <w:color w:val="auto"/>
                <w:szCs w:val="21"/>
                <w:highlight w:val="none"/>
              </w:rPr>
              <w:t>进行评分，全部满足得</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rPr>
              <w:t>分。</w:t>
            </w:r>
          </w:p>
          <w:p w14:paraId="396F016C">
            <w:pPr>
              <w:pBdr>
                <w:top w:val="none" w:color="000000" w:sz="0" w:space="0"/>
                <w:left w:val="none" w:color="000000" w:sz="0" w:space="0"/>
                <w:right w:val="none" w:color="000000" w:sz="0" w:space="0"/>
              </w:pBdr>
              <w:adjustRightInd w:val="0"/>
              <w:snapToGrid w:val="0"/>
              <w:rPr>
                <w:rFonts w:hint="eastAsia" w:ascii="宋体" w:hAnsi="宋体"/>
                <w:color w:val="auto"/>
                <w:szCs w:val="21"/>
                <w:highlight w:val="none"/>
              </w:rPr>
            </w:pPr>
            <w:r>
              <w:rPr>
                <w:rFonts w:hint="eastAsia" w:ascii="宋体" w:hAnsi="宋体"/>
                <w:color w:val="auto"/>
                <w:szCs w:val="21"/>
                <w:highlight w:val="none"/>
              </w:rPr>
              <w:t>标注“</w:t>
            </w:r>
            <w:r>
              <w:rPr>
                <w:rFonts w:hint="eastAsia" w:ascii="宋体" w:hAnsi="宋体" w:cs="宋体"/>
                <w:color w:val="auto"/>
                <w:highlight w:val="none"/>
              </w:rPr>
              <w:t>★</w:t>
            </w:r>
            <w:r>
              <w:rPr>
                <w:rFonts w:hint="eastAsia" w:ascii="宋体" w:hAnsi="宋体"/>
                <w:color w:val="auto"/>
                <w:szCs w:val="21"/>
                <w:highlight w:val="none"/>
              </w:rPr>
              <w:t>”号条款为实质性响应条款，投标人如有任何一条负偏离则导致投标无效；标注“▲”号条款为重点评审响应条款，投标人</w:t>
            </w:r>
            <w:r>
              <w:rPr>
                <w:rFonts w:hint="eastAsia" w:ascii="宋体" w:hAnsi="宋体" w:cs="宋体"/>
                <w:color w:val="auto"/>
                <w:szCs w:val="21"/>
                <w:highlight w:val="none"/>
              </w:rPr>
              <w:t>每有一项负偏离扣</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r>
              <w:rPr>
                <w:rFonts w:hint="eastAsia" w:ascii="宋体" w:hAnsi="宋体"/>
                <w:color w:val="auto"/>
                <w:szCs w:val="21"/>
                <w:highlight w:val="none"/>
              </w:rPr>
              <w:t>；其他未标注“★”和“▲”号的条款</w:t>
            </w:r>
            <w:r>
              <w:rPr>
                <w:rFonts w:hint="eastAsia" w:ascii="宋体" w:hAnsi="宋体" w:cs="宋体"/>
                <w:color w:val="auto"/>
                <w:szCs w:val="21"/>
                <w:highlight w:val="none"/>
              </w:rPr>
              <w:t>每有一项负偏离扣1分；</w:t>
            </w:r>
            <w:r>
              <w:rPr>
                <w:rFonts w:hint="eastAsia" w:ascii="宋体" w:hAnsi="宋体"/>
                <w:color w:val="auto"/>
                <w:szCs w:val="21"/>
                <w:highlight w:val="none"/>
              </w:rPr>
              <w:t>标注“▲”号条款</w:t>
            </w:r>
            <w:r>
              <w:rPr>
                <w:rFonts w:hint="eastAsia" w:ascii="宋体" w:hAnsi="宋体" w:cs="宋体"/>
                <w:color w:val="auto"/>
                <w:szCs w:val="21"/>
                <w:highlight w:val="none"/>
              </w:rPr>
              <w:t>负偏离＞4项的</w:t>
            </w:r>
            <w:r>
              <w:rPr>
                <w:rFonts w:hint="eastAsia" w:ascii="宋体" w:hAnsi="宋体"/>
                <w:color w:val="auto"/>
                <w:szCs w:val="21"/>
                <w:highlight w:val="none"/>
              </w:rPr>
              <w:t>或其他未标注“★”和“▲”号的条款</w:t>
            </w:r>
            <w:r>
              <w:rPr>
                <w:rFonts w:hint="eastAsia" w:ascii="宋体" w:hAnsi="宋体" w:cs="宋体"/>
                <w:color w:val="auto"/>
                <w:szCs w:val="21"/>
                <w:highlight w:val="none"/>
              </w:rPr>
              <w:t>负偏离＞20项的</w:t>
            </w:r>
            <w:r>
              <w:rPr>
                <w:rFonts w:hint="eastAsia" w:ascii="宋体" w:hAnsi="宋体"/>
                <w:b/>
                <w:bCs/>
                <w:color w:val="auto"/>
                <w:szCs w:val="21"/>
                <w:highlight w:val="none"/>
                <w:lang w:val="en-US" w:eastAsia="zh-CN"/>
              </w:rPr>
              <w:t>视为</w:t>
            </w:r>
            <w:r>
              <w:rPr>
                <w:rFonts w:hint="eastAsia" w:ascii="宋体" w:hAnsi="宋体"/>
                <w:b/>
                <w:bCs/>
                <w:color w:val="auto"/>
                <w:szCs w:val="21"/>
                <w:highlight w:val="none"/>
              </w:rPr>
              <w:t>影响实现采购需求</w:t>
            </w:r>
            <w:r>
              <w:rPr>
                <w:rFonts w:hint="eastAsia" w:ascii="宋体" w:hAnsi="宋体" w:cs="宋体"/>
                <w:color w:val="auto"/>
                <w:szCs w:val="21"/>
                <w:highlight w:val="none"/>
              </w:rPr>
              <w:t>，本技术响应项得0分。</w:t>
            </w:r>
          </w:p>
          <w:p w14:paraId="059BC347">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 w:val="21"/>
                <w:szCs w:val="24"/>
                <w:highlight w:val="none"/>
                <w:lang w:val="en-US" w:eastAsia="zh-CN" w:bidi="ar-SA"/>
              </w:rPr>
            </w:pPr>
            <w:r>
              <w:rPr>
                <w:rFonts w:hint="eastAsia" w:ascii="宋体" w:hAnsi="宋体"/>
                <w:color w:val="auto"/>
                <w:szCs w:val="21"/>
                <w:highlight w:val="none"/>
              </w:rPr>
              <w:t>注：</w:t>
            </w:r>
            <w:r>
              <w:rPr>
                <w:rFonts w:hint="eastAsia" w:ascii="宋体" w:hAnsi="宋体" w:cs="宋体"/>
                <w:color w:val="auto"/>
                <w:szCs w:val="21"/>
                <w:highlight w:val="none"/>
              </w:rPr>
              <w:t>凡标有最低一级序号的指标项即为一项条款，无论是否隶属于上一级编号</w:t>
            </w:r>
            <w:r>
              <w:rPr>
                <w:rFonts w:hint="eastAsia" w:ascii="宋体" w:hAnsi="宋体" w:eastAsia="宋体" w:cs="宋体"/>
                <w:b w:val="0"/>
                <w:bCs/>
                <w:color w:val="auto"/>
                <w:szCs w:val="24"/>
                <w:highlight w:val="none"/>
              </w:rPr>
              <w:t>。</w:t>
            </w:r>
          </w:p>
        </w:tc>
      </w:tr>
      <w:tr w14:paraId="0309E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0" w:hRule="atLeast"/>
          <w:jc w:val="center"/>
        </w:trPr>
        <w:tc>
          <w:tcPr>
            <w:tcW w:w="724" w:type="dxa"/>
            <w:vMerge w:val="continue"/>
            <w:tcBorders>
              <w:right w:val="single" w:color="auto" w:sz="4" w:space="0"/>
            </w:tcBorders>
            <w:shd w:val="clear" w:color="auto" w:fill="auto"/>
            <w:noWrap w:val="0"/>
            <w:vAlign w:val="center"/>
          </w:tcPr>
          <w:p w14:paraId="3391C2C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p>
        </w:tc>
        <w:tc>
          <w:tcPr>
            <w:tcW w:w="894" w:type="dxa"/>
            <w:vMerge w:val="restart"/>
            <w:tcBorders>
              <w:left w:val="single" w:color="auto" w:sz="4" w:space="0"/>
            </w:tcBorders>
            <w:shd w:val="clear" w:color="auto" w:fill="auto"/>
            <w:noWrap w:val="0"/>
            <w:vAlign w:val="center"/>
          </w:tcPr>
          <w:p w14:paraId="1483732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项目实施</w:t>
            </w: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14分</w:t>
            </w:r>
            <w:r>
              <w:rPr>
                <w:rFonts w:hint="eastAsia" w:ascii="宋体" w:hAnsi="宋体" w:cs="宋体"/>
                <w:color w:val="auto"/>
                <w:szCs w:val="24"/>
                <w:highlight w:val="none"/>
                <w:lang w:eastAsia="zh-CN"/>
              </w:rPr>
              <w:t>）</w:t>
            </w:r>
          </w:p>
        </w:tc>
        <w:tc>
          <w:tcPr>
            <w:tcW w:w="7577" w:type="dxa"/>
            <w:shd w:val="clear" w:color="auto" w:fill="auto"/>
            <w:noWrap w:val="0"/>
            <w:vAlign w:val="center"/>
          </w:tcPr>
          <w:p w14:paraId="3909073B">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eastAsia="宋体" w:cs="宋体"/>
                <w:color w:val="auto"/>
                <w:szCs w:val="24"/>
                <w:highlight w:val="none"/>
              </w:rPr>
              <w:t>实施方案（</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分）：</w:t>
            </w:r>
            <w:r>
              <w:rPr>
                <w:rFonts w:hint="eastAsia" w:ascii="宋体" w:hAnsi="宋体" w:eastAsia="宋体" w:cs="宋体"/>
                <w:b w:val="0"/>
                <w:bCs/>
                <w:color w:val="auto"/>
                <w:szCs w:val="24"/>
                <w:highlight w:val="none"/>
              </w:rPr>
              <w:t>针对投标人提供的关于交货、安装、调试</w:t>
            </w:r>
            <w:r>
              <w:rPr>
                <w:rFonts w:hint="eastAsia" w:ascii="宋体" w:hAnsi="宋体" w:cs="宋体"/>
                <w:b w:val="0"/>
                <w:bCs/>
                <w:color w:val="auto"/>
                <w:szCs w:val="24"/>
                <w:highlight w:val="none"/>
                <w:lang w:eastAsia="zh-CN"/>
              </w:rPr>
              <w:t>、</w:t>
            </w:r>
            <w:r>
              <w:rPr>
                <w:rFonts w:hint="eastAsia" w:ascii="宋体" w:hAnsi="宋体" w:cs="宋体"/>
                <w:b w:val="0"/>
                <w:bCs/>
                <w:color w:val="auto"/>
                <w:szCs w:val="24"/>
                <w:highlight w:val="none"/>
                <w:lang w:val="en-US" w:eastAsia="zh-CN"/>
              </w:rPr>
              <w:t>验收</w:t>
            </w:r>
            <w:r>
              <w:rPr>
                <w:rFonts w:hint="eastAsia" w:ascii="宋体" w:hAnsi="宋体" w:eastAsia="宋体" w:cs="宋体"/>
                <w:b w:val="0"/>
                <w:bCs/>
                <w:color w:val="auto"/>
                <w:szCs w:val="24"/>
                <w:highlight w:val="none"/>
              </w:rPr>
              <w:t>等项目实施方案综合打分。</w:t>
            </w:r>
          </w:p>
          <w:p w14:paraId="1696615B">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方案内容全面，详细合理，针对性强，技术保障措施完善，得</w:t>
            </w:r>
            <w:r>
              <w:rPr>
                <w:rFonts w:hint="eastAsia" w:ascii="宋体" w:hAnsi="宋体" w:eastAsia="宋体" w:cs="宋体"/>
                <w:b w:val="0"/>
                <w:bCs/>
                <w:color w:val="auto"/>
                <w:szCs w:val="24"/>
                <w:highlight w:val="none"/>
                <w:lang w:val="en-US" w:eastAsia="zh-CN"/>
              </w:rPr>
              <w:t>8</w:t>
            </w:r>
            <w:r>
              <w:rPr>
                <w:rFonts w:hint="eastAsia" w:ascii="宋体" w:hAnsi="宋体" w:eastAsia="宋体" w:cs="宋体"/>
                <w:b w:val="0"/>
                <w:bCs/>
                <w:color w:val="auto"/>
                <w:szCs w:val="24"/>
                <w:highlight w:val="none"/>
              </w:rPr>
              <w:t>分；</w:t>
            </w:r>
          </w:p>
          <w:p w14:paraId="7D11F0C0">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方案内容较全面合理，针对性一般，技术保障措施较为完善，得4分；</w:t>
            </w:r>
          </w:p>
          <w:p w14:paraId="30CA437E">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rPr>
              <w:t>方案内容简单，未突出重点，技术保障措施一般，得1分</w:t>
            </w:r>
            <w:r>
              <w:rPr>
                <w:rFonts w:hint="eastAsia" w:ascii="宋体" w:hAnsi="宋体" w:eastAsia="宋体" w:cs="宋体"/>
                <w:b w:val="0"/>
                <w:bCs/>
                <w:color w:val="auto"/>
                <w:szCs w:val="24"/>
                <w:highlight w:val="none"/>
                <w:lang w:eastAsia="zh-CN"/>
              </w:rPr>
              <w:t>；</w:t>
            </w:r>
          </w:p>
          <w:p w14:paraId="4D5B6656">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 w:val="21"/>
                <w:szCs w:val="24"/>
                <w:highlight w:val="none"/>
                <w:lang w:val="en-US" w:eastAsia="zh-CN" w:bidi="ar-SA"/>
              </w:rPr>
            </w:pPr>
            <w:r>
              <w:rPr>
                <w:rFonts w:hint="eastAsia" w:ascii="宋体" w:hAnsi="宋体" w:cs="宋体"/>
                <w:b w:val="0"/>
                <w:bCs/>
                <w:color w:val="auto"/>
                <w:szCs w:val="24"/>
                <w:highlight w:val="none"/>
                <w:lang w:val="en-US" w:eastAsia="zh-CN"/>
              </w:rPr>
              <w:t>差或</w:t>
            </w:r>
            <w:r>
              <w:rPr>
                <w:rFonts w:hint="eastAsia" w:ascii="宋体" w:hAnsi="宋体" w:eastAsia="宋体" w:cs="宋体"/>
                <w:b w:val="0"/>
                <w:bCs/>
                <w:color w:val="auto"/>
                <w:szCs w:val="24"/>
                <w:highlight w:val="none"/>
              </w:rPr>
              <w:t>未提供的不得分。</w:t>
            </w:r>
          </w:p>
        </w:tc>
      </w:tr>
      <w:tr w14:paraId="0FB7A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0" w:hRule="atLeast"/>
          <w:jc w:val="center"/>
        </w:trPr>
        <w:tc>
          <w:tcPr>
            <w:tcW w:w="724" w:type="dxa"/>
            <w:vMerge w:val="continue"/>
            <w:tcBorders>
              <w:right w:val="single" w:color="auto" w:sz="4" w:space="0"/>
            </w:tcBorders>
            <w:shd w:val="clear" w:color="auto" w:fill="auto"/>
            <w:noWrap w:val="0"/>
            <w:vAlign w:val="center"/>
          </w:tcPr>
          <w:p w14:paraId="594EAD54">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rPr>
            </w:pPr>
          </w:p>
        </w:tc>
        <w:tc>
          <w:tcPr>
            <w:tcW w:w="894" w:type="dxa"/>
            <w:vMerge w:val="continue"/>
            <w:tcBorders>
              <w:left w:val="single" w:color="auto" w:sz="4" w:space="0"/>
            </w:tcBorders>
            <w:shd w:val="clear" w:color="auto" w:fill="auto"/>
            <w:noWrap w:val="0"/>
            <w:vAlign w:val="center"/>
          </w:tcPr>
          <w:p w14:paraId="43EF860B">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rPr>
            </w:pPr>
          </w:p>
        </w:tc>
        <w:tc>
          <w:tcPr>
            <w:tcW w:w="7577" w:type="dxa"/>
            <w:shd w:val="clear" w:color="auto" w:fill="auto"/>
            <w:noWrap w:val="0"/>
            <w:vAlign w:val="center"/>
          </w:tcPr>
          <w:p w14:paraId="44655A7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eastAsia="宋体" w:cs="宋体"/>
                <w:color w:val="auto"/>
                <w:szCs w:val="24"/>
                <w:highlight w:val="none"/>
              </w:rPr>
              <w:t>培训计划（</w:t>
            </w:r>
            <w:r>
              <w:rPr>
                <w:rFonts w:hint="eastAsia" w:ascii="宋体" w:hAnsi="宋体" w:cs="宋体"/>
                <w:color w:val="auto"/>
                <w:szCs w:val="24"/>
                <w:highlight w:val="none"/>
                <w:lang w:val="en-US" w:eastAsia="zh-CN"/>
              </w:rPr>
              <w:t>6</w:t>
            </w:r>
            <w:r>
              <w:rPr>
                <w:rFonts w:hint="eastAsia" w:ascii="宋体" w:hAnsi="宋体" w:eastAsia="宋体" w:cs="宋体"/>
                <w:color w:val="auto"/>
                <w:szCs w:val="24"/>
                <w:highlight w:val="none"/>
              </w:rPr>
              <w:t>分）：</w:t>
            </w:r>
            <w:r>
              <w:rPr>
                <w:rFonts w:hint="eastAsia" w:ascii="宋体" w:hAnsi="宋体" w:eastAsia="宋体" w:cs="宋体"/>
                <w:b w:val="0"/>
                <w:bCs/>
                <w:color w:val="auto"/>
                <w:szCs w:val="24"/>
                <w:highlight w:val="none"/>
              </w:rPr>
              <w:t>根据</w:t>
            </w:r>
            <w:r>
              <w:rPr>
                <w:rFonts w:hint="eastAsia" w:ascii="宋体" w:hAnsi="宋体" w:eastAsia="宋体" w:cs="宋体"/>
                <w:b w:val="0"/>
                <w:bCs/>
                <w:color w:val="auto"/>
                <w:szCs w:val="24"/>
                <w:highlight w:val="none"/>
                <w:lang w:val="en-US" w:eastAsia="zh-CN"/>
              </w:rPr>
              <w:t>投标人</w:t>
            </w:r>
            <w:r>
              <w:rPr>
                <w:rFonts w:hint="eastAsia" w:ascii="宋体" w:hAnsi="宋体" w:eastAsia="宋体" w:cs="宋体"/>
                <w:b w:val="0"/>
                <w:bCs/>
                <w:color w:val="auto"/>
                <w:szCs w:val="24"/>
                <w:highlight w:val="none"/>
              </w:rPr>
              <w:t>提供</w:t>
            </w:r>
            <w:r>
              <w:rPr>
                <w:rFonts w:hint="eastAsia" w:ascii="宋体" w:hAnsi="宋体" w:eastAsia="宋体" w:cs="宋体"/>
                <w:b w:val="0"/>
                <w:bCs/>
                <w:color w:val="auto"/>
                <w:szCs w:val="24"/>
                <w:highlight w:val="none"/>
                <w:lang w:val="en-US" w:eastAsia="zh-CN"/>
              </w:rPr>
              <w:t>的</w:t>
            </w:r>
            <w:r>
              <w:rPr>
                <w:rFonts w:hint="eastAsia" w:ascii="宋体" w:hAnsi="宋体" w:eastAsia="宋体" w:cs="宋体"/>
                <w:b w:val="0"/>
                <w:bCs/>
                <w:color w:val="auto"/>
                <w:szCs w:val="24"/>
                <w:highlight w:val="none"/>
              </w:rPr>
              <w:t>培训计划的内容、方式、时间、人次数等综合评分。</w:t>
            </w:r>
          </w:p>
          <w:p w14:paraId="4129D90F">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培训计划实用，方式多样，安排合理得</w:t>
            </w:r>
            <w:r>
              <w:rPr>
                <w:rFonts w:hint="eastAsia" w:ascii="宋体" w:hAnsi="宋体" w:cs="宋体"/>
                <w:b w:val="0"/>
                <w:bCs/>
                <w:color w:val="auto"/>
                <w:szCs w:val="24"/>
                <w:highlight w:val="none"/>
                <w:lang w:val="en-US" w:eastAsia="zh-CN"/>
              </w:rPr>
              <w:t>6</w:t>
            </w:r>
            <w:r>
              <w:rPr>
                <w:rFonts w:hint="eastAsia" w:ascii="宋体" w:hAnsi="宋体" w:eastAsia="宋体" w:cs="宋体"/>
                <w:b w:val="0"/>
                <w:bCs/>
                <w:color w:val="auto"/>
                <w:szCs w:val="24"/>
                <w:highlight w:val="none"/>
              </w:rPr>
              <w:t>分；</w:t>
            </w:r>
          </w:p>
          <w:p w14:paraId="71AA5392">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培训计划较实用，方式较多样，安排较合理得</w:t>
            </w:r>
            <w:r>
              <w:rPr>
                <w:rFonts w:hint="eastAsia" w:ascii="宋体" w:hAnsi="宋体" w:cs="宋体"/>
                <w:b w:val="0"/>
                <w:bCs/>
                <w:color w:val="auto"/>
                <w:szCs w:val="24"/>
                <w:highlight w:val="none"/>
                <w:lang w:val="en-US" w:eastAsia="zh-CN"/>
              </w:rPr>
              <w:t>3</w:t>
            </w:r>
            <w:r>
              <w:rPr>
                <w:rFonts w:hint="eastAsia" w:ascii="宋体" w:hAnsi="宋体" w:eastAsia="宋体" w:cs="宋体"/>
                <w:b w:val="0"/>
                <w:bCs/>
                <w:color w:val="auto"/>
                <w:szCs w:val="24"/>
                <w:highlight w:val="none"/>
              </w:rPr>
              <w:t>分；</w:t>
            </w:r>
          </w:p>
          <w:p w14:paraId="3876BA95">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rPr>
              <w:t>培训计划简单，形式单一，得1分</w:t>
            </w:r>
            <w:r>
              <w:rPr>
                <w:rFonts w:hint="eastAsia" w:ascii="宋体" w:hAnsi="宋体" w:eastAsia="宋体" w:cs="宋体"/>
                <w:b w:val="0"/>
                <w:bCs/>
                <w:color w:val="auto"/>
                <w:szCs w:val="24"/>
                <w:highlight w:val="none"/>
                <w:lang w:eastAsia="zh-CN"/>
              </w:rPr>
              <w:t>；</w:t>
            </w:r>
          </w:p>
          <w:p w14:paraId="2DE5FA5A">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s="宋体"/>
                <w:b w:val="0"/>
                <w:bCs/>
                <w:color w:val="auto"/>
                <w:szCs w:val="24"/>
                <w:highlight w:val="none"/>
                <w:lang w:val="en-US" w:eastAsia="zh-CN"/>
              </w:rPr>
              <w:t>差或</w:t>
            </w:r>
            <w:r>
              <w:rPr>
                <w:rFonts w:hint="eastAsia" w:ascii="宋体" w:hAnsi="宋体" w:eastAsia="宋体" w:cs="宋体"/>
                <w:b w:val="0"/>
                <w:bCs/>
                <w:color w:val="auto"/>
                <w:szCs w:val="24"/>
                <w:highlight w:val="none"/>
              </w:rPr>
              <w:t>未提供的不得分。</w:t>
            </w:r>
          </w:p>
        </w:tc>
      </w:tr>
      <w:tr w14:paraId="7884B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4" w:type="dxa"/>
            <w:vMerge w:val="continue"/>
            <w:tcBorders>
              <w:right w:val="single" w:color="auto" w:sz="4" w:space="0"/>
            </w:tcBorders>
            <w:shd w:val="clear" w:color="auto" w:fill="auto"/>
            <w:noWrap w:val="0"/>
            <w:vAlign w:val="center"/>
          </w:tcPr>
          <w:p w14:paraId="7313C4A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p>
        </w:tc>
        <w:tc>
          <w:tcPr>
            <w:tcW w:w="894" w:type="dxa"/>
            <w:vMerge w:val="restart"/>
            <w:tcBorders>
              <w:left w:val="single" w:color="auto" w:sz="4" w:space="0"/>
            </w:tcBorders>
            <w:shd w:val="clear" w:color="auto" w:fill="auto"/>
            <w:noWrap w:val="0"/>
            <w:vAlign w:val="center"/>
          </w:tcPr>
          <w:p w14:paraId="240DBEC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售后服务</w:t>
            </w: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14分</w:t>
            </w:r>
            <w:r>
              <w:rPr>
                <w:rFonts w:hint="eastAsia" w:ascii="宋体" w:hAnsi="宋体" w:cs="宋体"/>
                <w:color w:val="auto"/>
                <w:szCs w:val="24"/>
                <w:highlight w:val="none"/>
                <w:lang w:eastAsia="zh-CN"/>
              </w:rPr>
              <w:t>）</w:t>
            </w:r>
          </w:p>
        </w:tc>
        <w:tc>
          <w:tcPr>
            <w:tcW w:w="7577" w:type="dxa"/>
            <w:shd w:val="clear" w:color="auto" w:fill="auto"/>
            <w:noWrap w:val="0"/>
            <w:vAlign w:val="center"/>
          </w:tcPr>
          <w:p w14:paraId="57C0B2A9">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color w:val="auto"/>
                <w:szCs w:val="24"/>
                <w:highlight w:val="none"/>
              </w:rPr>
            </w:pPr>
            <w:r>
              <w:rPr>
                <w:rFonts w:hint="eastAsia" w:ascii="宋体" w:hAnsi="宋体" w:eastAsia="宋体" w:cs="宋体"/>
                <w:color w:val="auto"/>
                <w:szCs w:val="24"/>
                <w:highlight w:val="none"/>
              </w:rPr>
              <w:t>应急响应方案（7分）：</w:t>
            </w:r>
            <w:r>
              <w:rPr>
                <w:rFonts w:hint="eastAsia" w:ascii="宋体" w:hAnsi="宋体" w:eastAsia="宋体" w:cs="宋体"/>
                <w:b w:val="0"/>
                <w:bCs/>
                <w:color w:val="auto"/>
                <w:szCs w:val="24"/>
                <w:highlight w:val="none"/>
              </w:rPr>
              <w:t>根据</w:t>
            </w:r>
            <w:r>
              <w:rPr>
                <w:rFonts w:hint="eastAsia" w:ascii="宋体" w:hAnsi="宋体" w:eastAsia="宋体" w:cs="宋体"/>
                <w:b w:val="0"/>
                <w:bCs/>
                <w:color w:val="auto"/>
                <w:szCs w:val="24"/>
                <w:highlight w:val="none"/>
                <w:lang w:val="en-US" w:eastAsia="zh-CN"/>
              </w:rPr>
              <w:t>投标人</w:t>
            </w:r>
            <w:r>
              <w:rPr>
                <w:rFonts w:hint="eastAsia" w:ascii="宋体" w:hAnsi="宋体" w:eastAsia="宋体" w:cs="宋体"/>
                <w:b w:val="0"/>
                <w:bCs/>
                <w:color w:val="auto"/>
                <w:szCs w:val="24"/>
                <w:highlight w:val="none"/>
              </w:rPr>
              <w:t>提供的维修设备的响应和应急故障修复方案等综合评分。</w:t>
            </w:r>
          </w:p>
          <w:p w14:paraId="235633C8">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维修响应速度快，维修方案全面可行性强，应急故障修复方案完善得7分；</w:t>
            </w:r>
          </w:p>
          <w:p w14:paraId="7E127702">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维修响应较快，维修方案较全面，可行性较强，应急故障修复方案较完善得4分；</w:t>
            </w:r>
          </w:p>
          <w:p w14:paraId="2243DC1B">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rPr>
              <w:t>维修响应一般，维修方案简单，应急故障修复方案一般得1分</w:t>
            </w:r>
            <w:r>
              <w:rPr>
                <w:rFonts w:hint="eastAsia" w:ascii="宋体" w:hAnsi="宋体" w:eastAsia="宋体" w:cs="宋体"/>
                <w:b w:val="0"/>
                <w:bCs/>
                <w:color w:val="auto"/>
                <w:szCs w:val="24"/>
                <w:highlight w:val="none"/>
                <w:lang w:eastAsia="zh-CN"/>
              </w:rPr>
              <w:t>；</w:t>
            </w:r>
          </w:p>
          <w:p w14:paraId="44B8978D">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color w:val="auto"/>
                <w:sz w:val="21"/>
                <w:szCs w:val="24"/>
                <w:highlight w:val="none"/>
                <w:lang w:val="en-US" w:eastAsia="zh-CN" w:bidi="ar-SA"/>
              </w:rPr>
            </w:pPr>
            <w:r>
              <w:rPr>
                <w:rFonts w:hint="eastAsia" w:ascii="宋体" w:hAnsi="宋体" w:cs="宋体"/>
                <w:b w:val="0"/>
                <w:bCs/>
                <w:color w:val="auto"/>
                <w:szCs w:val="24"/>
                <w:highlight w:val="none"/>
                <w:lang w:val="en-US" w:eastAsia="zh-CN"/>
              </w:rPr>
              <w:t>差或</w:t>
            </w:r>
            <w:r>
              <w:rPr>
                <w:rFonts w:hint="eastAsia" w:ascii="宋体" w:hAnsi="宋体" w:eastAsia="宋体" w:cs="宋体"/>
                <w:b w:val="0"/>
                <w:bCs/>
                <w:color w:val="auto"/>
                <w:szCs w:val="24"/>
                <w:highlight w:val="none"/>
              </w:rPr>
              <w:t>未提供的不得分。</w:t>
            </w:r>
          </w:p>
        </w:tc>
      </w:tr>
      <w:tr w14:paraId="0E8EC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4" w:type="dxa"/>
            <w:vMerge w:val="continue"/>
            <w:tcBorders>
              <w:right w:val="single" w:color="auto" w:sz="4" w:space="0"/>
            </w:tcBorders>
            <w:shd w:val="clear" w:color="auto" w:fill="auto"/>
            <w:noWrap w:val="0"/>
            <w:vAlign w:val="center"/>
          </w:tcPr>
          <w:p w14:paraId="5FBCB46E">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rPr>
            </w:pPr>
          </w:p>
        </w:tc>
        <w:tc>
          <w:tcPr>
            <w:tcW w:w="894" w:type="dxa"/>
            <w:vMerge w:val="continue"/>
            <w:tcBorders>
              <w:left w:val="single" w:color="auto" w:sz="4" w:space="0"/>
            </w:tcBorders>
            <w:shd w:val="clear" w:color="auto" w:fill="auto"/>
            <w:noWrap w:val="0"/>
            <w:vAlign w:val="center"/>
          </w:tcPr>
          <w:p w14:paraId="19424128">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rPr>
            </w:pPr>
          </w:p>
        </w:tc>
        <w:tc>
          <w:tcPr>
            <w:tcW w:w="7577" w:type="dxa"/>
            <w:shd w:val="clear" w:color="auto" w:fill="auto"/>
            <w:noWrap w:val="0"/>
            <w:vAlign w:val="center"/>
          </w:tcPr>
          <w:p w14:paraId="3F624D88">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eastAsia="宋体" w:cs="宋体"/>
                <w:color w:val="auto"/>
                <w:szCs w:val="24"/>
                <w:highlight w:val="none"/>
              </w:rPr>
              <w:t>配件耗材情况（7分）：</w:t>
            </w:r>
            <w:r>
              <w:rPr>
                <w:rFonts w:hint="eastAsia" w:ascii="宋体" w:hAnsi="宋体" w:eastAsia="宋体" w:cs="宋体"/>
                <w:b w:val="0"/>
                <w:bCs/>
                <w:color w:val="auto"/>
                <w:szCs w:val="24"/>
                <w:highlight w:val="none"/>
              </w:rPr>
              <w:t>根据</w:t>
            </w:r>
            <w:r>
              <w:rPr>
                <w:rFonts w:hint="eastAsia" w:ascii="宋体" w:hAnsi="宋体" w:eastAsia="宋体" w:cs="宋体"/>
                <w:b w:val="0"/>
                <w:bCs/>
                <w:color w:val="auto"/>
                <w:szCs w:val="24"/>
                <w:highlight w:val="none"/>
                <w:lang w:val="en-US" w:eastAsia="zh-CN"/>
              </w:rPr>
              <w:t>投标人</w:t>
            </w:r>
            <w:r>
              <w:rPr>
                <w:rFonts w:hint="eastAsia" w:ascii="宋体" w:hAnsi="宋体" w:eastAsia="宋体" w:cs="宋体"/>
                <w:b w:val="0"/>
                <w:bCs/>
                <w:color w:val="auto"/>
                <w:szCs w:val="24"/>
                <w:highlight w:val="none"/>
              </w:rPr>
              <w:t>所投产品列出保修期外主要配件和耗材的清单和价格，评委根据配件和耗材的质量、价格等综合评分。</w:t>
            </w:r>
          </w:p>
          <w:p w14:paraId="470B7164">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质量优秀、价格优惠得7分；</w:t>
            </w:r>
          </w:p>
          <w:p w14:paraId="4785394C">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质量较优、价格较优惠得4分；</w:t>
            </w:r>
          </w:p>
          <w:p w14:paraId="5BA07C69">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rPr>
              <w:t>质量一般、价格优惠力度低得1分</w:t>
            </w:r>
            <w:r>
              <w:rPr>
                <w:rFonts w:hint="eastAsia" w:ascii="宋体" w:hAnsi="宋体" w:eastAsia="宋体" w:cs="宋体"/>
                <w:b w:val="0"/>
                <w:bCs/>
                <w:color w:val="auto"/>
                <w:szCs w:val="24"/>
                <w:highlight w:val="none"/>
                <w:lang w:eastAsia="zh-CN"/>
              </w:rPr>
              <w:t>；</w:t>
            </w:r>
          </w:p>
          <w:p w14:paraId="32D67C86">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未提供的不得分。</w:t>
            </w:r>
          </w:p>
        </w:tc>
      </w:tr>
      <w:tr w14:paraId="4ABB0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4" w:type="dxa"/>
            <w:vMerge w:val="restart"/>
            <w:tcBorders>
              <w:right w:val="single" w:color="auto" w:sz="4" w:space="0"/>
            </w:tcBorders>
            <w:shd w:val="clear" w:color="auto" w:fill="auto"/>
            <w:noWrap w:val="0"/>
            <w:vAlign w:val="center"/>
          </w:tcPr>
          <w:p w14:paraId="02F73BE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lang w:eastAsia="zh-CN"/>
              </w:rPr>
            </w:pPr>
            <w:r>
              <w:rPr>
                <w:rFonts w:hint="eastAsia" w:hAnsi="宋体" w:cs="宋体"/>
                <w:color w:val="auto"/>
                <w:szCs w:val="24"/>
                <w:highlight w:val="none"/>
              </w:rPr>
              <w:t>国家政策导向</w:t>
            </w:r>
            <w:r>
              <w:rPr>
                <w:rFonts w:hint="eastAsia" w:hAnsi="宋体" w:cs="宋体"/>
                <w:color w:val="auto"/>
                <w:szCs w:val="24"/>
                <w:highlight w:val="none"/>
                <w:lang w:eastAsia="zh-CN"/>
              </w:rPr>
              <w:t>（</w:t>
            </w:r>
            <w:r>
              <w:rPr>
                <w:rFonts w:hint="eastAsia" w:hAnsi="宋体" w:cs="宋体"/>
                <w:color w:val="auto"/>
                <w:szCs w:val="24"/>
                <w:highlight w:val="none"/>
                <w:lang w:val="en-US" w:eastAsia="zh-CN"/>
              </w:rPr>
              <w:t>1分</w:t>
            </w:r>
            <w:r>
              <w:rPr>
                <w:rFonts w:hint="eastAsia" w:hAnsi="宋体" w:cs="宋体"/>
                <w:color w:val="auto"/>
                <w:szCs w:val="24"/>
                <w:highlight w:val="none"/>
                <w:lang w:eastAsia="zh-CN"/>
              </w:rPr>
              <w:t>）</w:t>
            </w:r>
          </w:p>
        </w:tc>
        <w:tc>
          <w:tcPr>
            <w:tcW w:w="894" w:type="dxa"/>
            <w:tcBorders>
              <w:left w:val="single" w:color="auto" w:sz="4" w:space="0"/>
            </w:tcBorders>
            <w:shd w:val="clear" w:color="auto" w:fill="auto"/>
            <w:noWrap w:val="0"/>
            <w:vAlign w:val="center"/>
          </w:tcPr>
          <w:p w14:paraId="1870203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lang w:val="en-US" w:eastAsia="zh-CN"/>
              </w:rPr>
            </w:pPr>
            <w:r>
              <w:rPr>
                <w:rFonts w:hint="eastAsia" w:ascii="宋体" w:hAnsi="宋体" w:cs="宋体"/>
                <w:color w:val="auto"/>
                <w:szCs w:val="21"/>
                <w:highlight w:val="none"/>
              </w:rPr>
              <w:t>节能产品</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0.5分</w:t>
            </w:r>
            <w:r>
              <w:rPr>
                <w:rFonts w:hint="eastAsia" w:ascii="宋体" w:hAnsi="宋体" w:cs="宋体"/>
                <w:color w:val="auto"/>
                <w:szCs w:val="21"/>
                <w:highlight w:val="none"/>
                <w:lang w:eastAsia="zh-CN"/>
              </w:rPr>
              <w:t>）</w:t>
            </w:r>
          </w:p>
        </w:tc>
        <w:tc>
          <w:tcPr>
            <w:tcW w:w="7577" w:type="dxa"/>
            <w:shd w:val="clear" w:color="auto" w:fill="auto"/>
            <w:noWrap w:val="0"/>
            <w:vAlign w:val="center"/>
          </w:tcPr>
          <w:p w14:paraId="743E463A">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s="宋体"/>
                <w:color w:val="auto"/>
                <w:szCs w:val="21"/>
                <w:highlight w:val="none"/>
              </w:rPr>
              <w:t>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r>
      <w:tr w14:paraId="2088C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4" w:type="dxa"/>
            <w:vMerge w:val="continue"/>
            <w:tcBorders>
              <w:right w:val="single" w:color="auto" w:sz="4" w:space="0"/>
            </w:tcBorders>
            <w:shd w:val="clear" w:color="auto" w:fill="auto"/>
            <w:noWrap w:val="0"/>
            <w:vAlign w:val="center"/>
          </w:tcPr>
          <w:p w14:paraId="16206597">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hAnsi="宋体" w:cs="宋体"/>
                <w:color w:val="auto"/>
                <w:szCs w:val="24"/>
                <w:highlight w:val="none"/>
              </w:rPr>
            </w:pPr>
          </w:p>
        </w:tc>
        <w:tc>
          <w:tcPr>
            <w:tcW w:w="894" w:type="dxa"/>
            <w:tcBorders>
              <w:left w:val="single" w:color="auto" w:sz="4" w:space="0"/>
            </w:tcBorders>
            <w:shd w:val="clear" w:color="auto" w:fill="auto"/>
            <w:noWrap w:val="0"/>
            <w:vAlign w:val="center"/>
          </w:tcPr>
          <w:p w14:paraId="3D81D4D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lang w:val="en-US" w:eastAsia="zh-CN"/>
              </w:rPr>
            </w:pPr>
            <w:r>
              <w:rPr>
                <w:rFonts w:hint="eastAsia" w:ascii="宋体" w:hAnsi="宋体" w:cs="宋体"/>
                <w:color w:val="auto"/>
                <w:szCs w:val="21"/>
                <w:highlight w:val="none"/>
              </w:rPr>
              <w:t>环境标志产品</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0.5分</w:t>
            </w:r>
            <w:r>
              <w:rPr>
                <w:rFonts w:hint="eastAsia" w:ascii="宋体" w:hAnsi="宋体" w:cs="宋体"/>
                <w:color w:val="auto"/>
                <w:szCs w:val="21"/>
                <w:highlight w:val="none"/>
                <w:lang w:eastAsia="zh-CN"/>
              </w:rPr>
              <w:t>）</w:t>
            </w:r>
          </w:p>
        </w:tc>
        <w:tc>
          <w:tcPr>
            <w:tcW w:w="7577" w:type="dxa"/>
            <w:shd w:val="clear" w:color="auto" w:fill="auto"/>
            <w:noWrap w:val="0"/>
            <w:vAlign w:val="center"/>
          </w:tcPr>
          <w:p w14:paraId="6EC80E1B">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s="宋体"/>
                <w:color w:val="auto"/>
                <w:szCs w:val="21"/>
                <w:highlight w:val="none"/>
              </w:rPr>
              <w:t>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r>
    </w:tbl>
    <w:p w14:paraId="4FD4D616">
      <w:pPr>
        <w:rPr>
          <w:rFonts w:hint="eastAsia" w:ascii="宋体" w:hAnsi="宋体" w:cs="宋体"/>
          <w:bCs/>
          <w:color w:val="auto"/>
          <w:szCs w:val="21"/>
          <w:highlight w:val="none"/>
        </w:rPr>
      </w:pPr>
    </w:p>
    <w:p w14:paraId="65041F5D">
      <w:pPr>
        <w:rPr>
          <w:rFonts w:hint="eastAsia" w:ascii="宋体" w:hAnsi="宋体" w:cs="宋体"/>
          <w:bCs/>
          <w:color w:val="auto"/>
          <w:szCs w:val="21"/>
          <w:highlight w:val="none"/>
        </w:rPr>
      </w:pPr>
      <w:r>
        <w:rPr>
          <w:rFonts w:hint="eastAsia" w:ascii="宋体" w:hAnsi="宋体" w:cs="宋体"/>
          <w:bCs/>
          <w:color w:val="auto"/>
          <w:szCs w:val="21"/>
          <w:highlight w:val="none"/>
        </w:rPr>
        <w:t>说明：</w:t>
      </w:r>
    </w:p>
    <w:p w14:paraId="2941B8AC">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落实政府采购政策的价格调整：</w:t>
      </w:r>
    </w:p>
    <w:p w14:paraId="0570A49D">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1、对于未预留份额专门面向中小企业采购的采购项目，以及预留份额项目中的非预留部分采购包，对小微企业报价给予10%的扣除，用扣除后的价格参加评审。</w:t>
      </w:r>
    </w:p>
    <w:p w14:paraId="25A29ACB">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744E2298">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3、组成联合体或者接受分包的小微企业与联合体内其他企业、分包企业之间存在直接控股、管理关系的，不享受价格扣除优惠政策。</w:t>
      </w:r>
    </w:p>
    <w:p w14:paraId="395ECAC2">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4、价格扣除比例对小型企业和微型企业同等对待，不作区分。</w:t>
      </w:r>
    </w:p>
    <w:p w14:paraId="1BAADFDA">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5、中小企业参加政府采购活动，应当按照招标文件给定的格式出具《中小企业声明函》，否则不得享受相关中小企业扶持政策。</w:t>
      </w:r>
    </w:p>
    <w:p w14:paraId="3B2E7326">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6、监狱企业提供了由省级以上监狱管理局、戒毒管理局（含新疆生产建设兵团）出具的属于监狱企业的证明文件的，视同小微企业。</w:t>
      </w:r>
    </w:p>
    <w:p w14:paraId="25D5814E">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7、残疾人福利性单位按招标文件要求提供了《残疾人福利性单位声明函》（见附件）的，视同小微企业。</w:t>
      </w:r>
    </w:p>
    <w:p w14:paraId="76A834AF">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8、若投标人同时属于小型或微型企业、监狱企业、残疾人福利性单位中的两种及以上，将不重复享受小微企业价格扣减的优惠政策。</w:t>
      </w:r>
    </w:p>
    <w:p w14:paraId="7CA76E3D">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9、非政府强制采购的节能产品或环境标志产品，依据品目清单和认证证书实施政府优先采购。优先采购的具体规定（如涉及）_/__。</w:t>
      </w:r>
    </w:p>
    <w:p w14:paraId="7F568F70">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10、关于无线局域网认证产品政府采购清单中的产品，优先采购的具体规定（如涉及）_/__。</w:t>
      </w:r>
    </w:p>
    <w:p w14:paraId="3F0CC8CB">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二、计算得分四舍五入，精确到小数点后两位。</w:t>
      </w:r>
    </w:p>
    <w:p w14:paraId="2D3665E1">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三、在评审过程中，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5A3D42CC">
      <w:pPr>
        <w:numPr>
          <w:ilvl w:val="0"/>
          <w:numId w:val="0"/>
        </w:numPr>
        <w:spacing w:line="360" w:lineRule="auto"/>
        <w:ind w:firstLine="420" w:firstLineChars="0"/>
        <w:rPr>
          <w:rFonts w:hint="eastAsia" w:ascii="宋体" w:hAnsi="宋体" w:cs="宋体"/>
          <w:bCs/>
          <w:color w:val="auto"/>
          <w:szCs w:val="21"/>
          <w:highlight w:val="none"/>
        </w:rPr>
      </w:pPr>
      <w:r>
        <w:rPr>
          <w:rFonts w:hint="eastAsia" w:ascii="宋体" w:hAnsi="宋体" w:cs="宋体"/>
          <w:bCs/>
          <w:color w:val="auto"/>
          <w:szCs w:val="21"/>
          <w:highlight w:val="none"/>
        </w:rPr>
        <w:t>四、若招标文件要求投标人提供证明材料为扫描件或复印件的，无论投标人提供扫描件或复印件均可。</w:t>
      </w:r>
    </w:p>
    <w:p w14:paraId="0E024C88">
      <w:pPr>
        <w:numPr>
          <w:ilvl w:val="0"/>
          <w:numId w:val="0"/>
        </w:numPr>
        <w:spacing w:line="360" w:lineRule="auto"/>
        <w:ind w:firstLine="420" w:firstLineChars="0"/>
        <w:rPr>
          <w:rFonts w:ascii="黑体" w:eastAsia="黑体"/>
          <w:bCs/>
          <w:color w:val="auto"/>
          <w:sz w:val="44"/>
          <w:highlight w:val="none"/>
        </w:rPr>
      </w:pPr>
      <w:r>
        <w:rPr>
          <w:rFonts w:hint="eastAsia" w:ascii="宋体" w:hAnsi="宋体" w:cs="宋体"/>
          <w:bCs/>
          <w:color w:val="auto"/>
          <w:szCs w:val="21"/>
          <w:highlight w:val="none"/>
        </w:rPr>
        <w:t>五、若项目已预留部分采购项目预算面向中小企业采购，价格评分时不再执行价格扣除优惠政策</w:t>
      </w:r>
      <w:r>
        <w:rPr>
          <w:rFonts w:hint="eastAsia" w:ascii="宋体" w:hAnsi="宋体" w:cs="宋体"/>
          <w:color w:val="auto"/>
          <w:szCs w:val="21"/>
          <w:highlight w:val="none"/>
        </w:rPr>
        <w:t>。</w:t>
      </w:r>
      <w:r>
        <w:rPr>
          <w:rFonts w:hint="eastAsia" w:ascii="宋体" w:hAnsi="宋体" w:cs="宋体"/>
          <w:color w:val="auto"/>
          <w:szCs w:val="21"/>
          <w:highlight w:val="none"/>
        </w:rPr>
        <w:br w:type="page" w:clear="all"/>
      </w:r>
    </w:p>
    <w:p w14:paraId="6FD03699">
      <w:pPr>
        <w:pStyle w:val="2"/>
        <w:keepNext/>
        <w:keepLines/>
        <w:pageBreakBefore w:val="0"/>
        <w:widowControl w:val="0"/>
        <w:kinsoku/>
        <w:wordWrap/>
        <w:overflowPunct/>
        <w:topLinePunct w:val="0"/>
        <w:autoSpaceDE/>
        <w:autoSpaceDN/>
        <w:bidi w:val="0"/>
        <w:adjustRightInd w:val="0"/>
        <w:snapToGrid w:val="0"/>
        <w:spacing w:before="0" w:after="0" w:line="440" w:lineRule="exact"/>
        <w:jc w:val="center"/>
        <w:textAlignment w:val="auto"/>
        <w:rPr>
          <w:rFonts w:hint="eastAsia" w:ascii="宋体" w:hAnsi="宋体" w:eastAsia="宋体" w:cs="宋体"/>
          <w:b/>
          <w:bCs/>
          <w:color w:val="auto"/>
          <w:sz w:val="28"/>
          <w:szCs w:val="28"/>
          <w:highlight w:val="none"/>
          <w:lang w:val="en-US" w:eastAsia="zh-CN"/>
        </w:rPr>
      </w:pPr>
      <w:bookmarkStart w:id="69" w:name="_Toc15595"/>
      <w:bookmarkStart w:id="70" w:name="_Toc22863"/>
      <w:r>
        <w:rPr>
          <w:rFonts w:hint="eastAsia" w:ascii="宋体" w:hAnsi="宋体" w:eastAsia="宋体" w:cs="宋体"/>
          <w:b/>
          <w:bCs/>
          <w:color w:val="auto"/>
          <w:sz w:val="28"/>
          <w:szCs w:val="28"/>
          <w:highlight w:val="none"/>
          <w:lang w:val="en-US" w:eastAsia="zh-CN"/>
        </w:rPr>
        <w:t>第六章 投标文件格式</w:t>
      </w:r>
      <w:bookmarkEnd w:id="69"/>
      <w:bookmarkEnd w:id="70"/>
    </w:p>
    <w:p w14:paraId="001B200F">
      <w:pPr>
        <w:spacing w:line="360" w:lineRule="auto"/>
        <w:rPr>
          <w:rFonts w:ascii="黑体" w:eastAsia="黑体"/>
          <w:bCs/>
          <w:color w:val="auto"/>
          <w:sz w:val="44"/>
          <w:highlight w:val="none"/>
        </w:rPr>
      </w:pPr>
    </w:p>
    <w:p w14:paraId="18B94873">
      <w:pPr>
        <w:spacing w:line="360" w:lineRule="auto"/>
        <w:jc w:val="center"/>
        <w:rPr>
          <w:rFonts w:ascii="宋体" w:hAnsi="宋体"/>
          <w:b/>
          <w:color w:val="auto"/>
          <w:sz w:val="72"/>
          <w:highlight w:val="none"/>
        </w:rPr>
      </w:pPr>
      <w:r>
        <w:rPr>
          <w:rFonts w:hint="eastAsia" w:ascii="宋体" w:hAnsi="宋体"/>
          <w:b/>
          <w:color w:val="auto"/>
          <w:sz w:val="72"/>
          <w:highlight w:val="none"/>
        </w:rPr>
        <w:t>投  标  文  件</w:t>
      </w:r>
    </w:p>
    <w:p w14:paraId="60D8D790">
      <w:pPr>
        <w:spacing w:line="360" w:lineRule="auto"/>
        <w:jc w:val="center"/>
        <w:rPr>
          <w:rFonts w:ascii="宋体" w:hAnsi="宋体"/>
          <w:b/>
          <w:color w:val="auto"/>
          <w:sz w:val="72"/>
          <w:highlight w:val="none"/>
        </w:rPr>
      </w:pPr>
    </w:p>
    <w:p w14:paraId="2091D189">
      <w:pPr>
        <w:spacing w:line="360" w:lineRule="auto"/>
        <w:jc w:val="center"/>
        <w:rPr>
          <w:rFonts w:ascii="宋体" w:hAnsi="宋体"/>
          <w:b/>
          <w:color w:val="auto"/>
          <w:sz w:val="36"/>
          <w:highlight w:val="none"/>
        </w:rPr>
      </w:pPr>
    </w:p>
    <w:p w14:paraId="34079280">
      <w:pPr>
        <w:spacing w:line="360" w:lineRule="auto"/>
        <w:rPr>
          <w:rFonts w:ascii="宋体" w:hAnsi="宋体"/>
          <w:b/>
          <w:color w:val="auto"/>
          <w:sz w:val="36"/>
          <w:highlight w:val="none"/>
        </w:rPr>
      </w:pPr>
    </w:p>
    <w:p w14:paraId="0D1367C2">
      <w:pPr>
        <w:spacing w:line="360" w:lineRule="auto"/>
        <w:jc w:val="center"/>
        <w:rPr>
          <w:rFonts w:ascii="宋体" w:hAnsi="宋体"/>
          <w:b/>
          <w:color w:val="auto"/>
          <w:sz w:val="36"/>
          <w:highlight w:val="none"/>
        </w:rPr>
      </w:pPr>
    </w:p>
    <w:p w14:paraId="5AABE343">
      <w:pPr>
        <w:spacing w:line="360" w:lineRule="auto"/>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7EFDFD12">
      <w:pPr>
        <w:spacing w:line="360" w:lineRule="auto"/>
        <w:ind w:firstLine="1084"/>
        <w:rPr>
          <w:rFonts w:ascii="宋体" w:hAnsi="宋体"/>
          <w:b/>
          <w:color w:val="auto"/>
          <w:sz w:val="36"/>
          <w:highlight w:val="none"/>
          <w:u w:val="single"/>
        </w:rPr>
      </w:pPr>
      <w:r>
        <w:rPr>
          <w:rFonts w:hint="eastAsia" w:ascii="宋体" w:hAnsi="宋体"/>
          <w:b/>
          <w:color w:val="auto"/>
          <w:sz w:val="36"/>
          <w:highlight w:val="none"/>
        </w:rPr>
        <w:t>招 标 编 号：</w:t>
      </w:r>
      <w:r>
        <w:rPr>
          <w:rFonts w:hint="eastAsia" w:ascii="宋体" w:hAnsi="宋体"/>
          <w:b/>
          <w:color w:val="auto"/>
          <w:sz w:val="36"/>
          <w:highlight w:val="none"/>
          <w:u w:val="single"/>
        </w:rPr>
        <w:t xml:space="preserve">               </w:t>
      </w:r>
    </w:p>
    <w:p w14:paraId="1E57EC0B">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082CE25C">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28CCD340">
      <w:pPr>
        <w:spacing w:line="360" w:lineRule="auto"/>
        <w:ind w:firstLine="1084"/>
        <w:rPr>
          <w:rFonts w:ascii="宋体" w:hAnsi="宋体"/>
          <w:b/>
          <w:color w:val="auto"/>
          <w:sz w:val="36"/>
          <w:highlight w:val="none"/>
        </w:rPr>
      </w:pPr>
      <w:r>
        <w:rPr>
          <w:rFonts w:hint="eastAsia" w:ascii="宋体" w:hAnsi="宋体"/>
          <w:b/>
          <w:color w:val="auto"/>
          <w:sz w:val="36"/>
          <w:highlight w:val="none"/>
        </w:rPr>
        <w:t>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（电子签章）</w:t>
      </w:r>
    </w:p>
    <w:p w14:paraId="3537000B">
      <w:pPr>
        <w:spacing w:line="360" w:lineRule="auto"/>
        <w:jc w:val="center"/>
        <w:rPr>
          <w:rFonts w:ascii="宋体" w:hAnsi="宋体"/>
          <w:b/>
          <w:bCs/>
          <w:color w:val="auto"/>
          <w:sz w:val="32"/>
          <w:szCs w:val="32"/>
          <w:highlight w:val="none"/>
        </w:rPr>
      </w:pPr>
    </w:p>
    <w:p w14:paraId="3CE48583">
      <w:pPr>
        <w:spacing w:line="360" w:lineRule="auto"/>
        <w:jc w:val="center"/>
        <w:rPr>
          <w:rFonts w:ascii="宋体" w:hAnsi="宋体"/>
          <w:b/>
          <w:bCs/>
          <w:color w:val="auto"/>
          <w:sz w:val="32"/>
          <w:szCs w:val="32"/>
          <w:highlight w:val="none"/>
        </w:rPr>
      </w:pPr>
    </w:p>
    <w:p w14:paraId="55DFBFE3">
      <w:pPr>
        <w:spacing w:line="360" w:lineRule="auto"/>
        <w:rPr>
          <w:rFonts w:ascii="宋体" w:hAnsi="宋体"/>
          <w:b/>
          <w:bCs/>
          <w:color w:val="auto"/>
          <w:sz w:val="32"/>
          <w:szCs w:val="32"/>
          <w:highlight w:val="none"/>
        </w:rPr>
      </w:pPr>
    </w:p>
    <w:p w14:paraId="69DCE2FE">
      <w:pPr>
        <w:rPr>
          <w:rFonts w:ascii="宋体" w:hAnsi="宋体"/>
          <w:b/>
          <w:bCs/>
          <w:color w:val="auto"/>
          <w:sz w:val="32"/>
          <w:szCs w:val="32"/>
          <w:highlight w:val="none"/>
        </w:rPr>
      </w:pPr>
      <w:r>
        <w:rPr>
          <w:rFonts w:hint="eastAsia" w:ascii="宋体" w:hAnsi="宋体"/>
          <w:b/>
          <w:bCs/>
          <w:color w:val="auto"/>
          <w:sz w:val="32"/>
          <w:szCs w:val="32"/>
          <w:highlight w:val="none"/>
        </w:rPr>
        <w:br w:type="page" w:clear="all"/>
      </w:r>
    </w:p>
    <w:p w14:paraId="68AD40E5">
      <w:pPr>
        <w:spacing w:line="360" w:lineRule="auto"/>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投标主要文件目录</w:t>
      </w:r>
    </w:p>
    <w:p w14:paraId="59D085C8">
      <w:pPr>
        <w:spacing w:line="360" w:lineRule="auto"/>
        <w:jc w:val="center"/>
        <w:rPr>
          <w:rFonts w:ascii="宋体" w:hAnsi="宋体"/>
          <w:b/>
          <w:bCs/>
          <w:color w:val="auto"/>
          <w:sz w:val="32"/>
          <w:szCs w:val="32"/>
          <w:highlight w:val="none"/>
        </w:rPr>
      </w:pPr>
    </w:p>
    <w:p w14:paraId="5BBBA40B">
      <w:pPr>
        <w:spacing w:line="360" w:lineRule="auto"/>
        <w:ind w:firstLine="480"/>
        <w:rPr>
          <w:rFonts w:ascii="宋体" w:hAnsi="宋体"/>
          <w:color w:val="auto"/>
          <w:sz w:val="24"/>
          <w:highlight w:val="none"/>
        </w:rPr>
      </w:pPr>
      <w:r>
        <w:rPr>
          <w:rFonts w:hint="eastAsia" w:ascii="宋体" w:hAnsi="宋体"/>
          <w:color w:val="auto"/>
          <w:sz w:val="24"/>
          <w:highlight w:val="none"/>
        </w:rPr>
        <w:t>一、资格审查响应对照表</w:t>
      </w:r>
    </w:p>
    <w:p w14:paraId="2D6B0F45">
      <w:pPr>
        <w:spacing w:line="360" w:lineRule="auto"/>
        <w:ind w:left="480"/>
        <w:rPr>
          <w:rFonts w:ascii="宋体" w:hAnsi="宋体"/>
          <w:color w:val="auto"/>
          <w:sz w:val="24"/>
          <w:highlight w:val="none"/>
        </w:rPr>
      </w:pPr>
      <w:r>
        <w:rPr>
          <w:rFonts w:hint="eastAsia" w:ascii="宋体" w:hAnsi="宋体"/>
          <w:color w:val="auto"/>
          <w:sz w:val="24"/>
          <w:highlight w:val="none"/>
        </w:rPr>
        <w:t>二、符合性审查响应对照表</w:t>
      </w:r>
    </w:p>
    <w:p w14:paraId="5491A9CF">
      <w:pPr>
        <w:spacing w:line="360" w:lineRule="auto"/>
        <w:ind w:left="480"/>
        <w:rPr>
          <w:rFonts w:ascii="宋体" w:hAnsi="宋体"/>
          <w:color w:val="auto"/>
          <w:sz w:val="24"/>
          <w:highlight w:val="none"/>
        </w:rPr>
      </w:pPr>
      <w:r>
        <w:rPr>
          <w:rFonts w:hint="eastAsia" w:ascii="宋体" w:hAnsi="宋体"/>
          <w:color w:val="auto"/>
          <w:sz w:val="24"/>
          <w:highlight w:val="none"/>
        </w:rPr>
        <w:t>三、非实质性响应对照表</w:t>
      </w:r>
    </w:p>
    <w:p w14:paraId="2844D0F5">
      <w:pPr>
        <w:spacing w:line="360" w:lineRule="auto"/>
        <w:ind w:firstLine="480"/>
        <w:rPr>
          <w:rFonts w:ascii="宋体" w:hAnsi="宋体"/>
          <w:b/>
          <w:bCs/>
          <w:color w:val="auto"/>
          <w:sz w:val="24"/>
          <w:highlight w:val="none"/>
        </w:rPr>
      </w:pPr>
      <w:r>
        <w:rPr>
          <w:rFonts w:hint="eastAsia" w:ascii="宋体" w:hAnsi="宋体"/>
          <w:color w:val="auto"/>
          <w:sz w:val="24"/>
          <w:highlight w:val="none"/>
        </w:rPr>
        <w:t>四</w:t>
      </w:r>
      <w:r>
        <w:rPr>
          <w:rFonts w:hint="eastAsia" w:ascii="宋体" w:hAnsi="宋体"/>
          <w:b/>
          <w:bCs/>
          <w:color w:val="auto"/>
          <w:sz w:val="24"/>
          <w:highlight w:val="none"/>
        </w:rPr>
        <w:t>、</w:t>
      </w:r>
      <w:r>
        <w:rPr>
          <w:rFonts w:hint="eastAsia" w:ascii="宋体" w:hAnsi="宋体"/>
          <w:i/>
          <w:color w:val="auto"/>
          <w:sz w:val="24"/>
          <w:highlight w:val="none"/>
          <w:u w:val="single"/>
        </w:rPr>
        <w:t>开标一览表</w:t>
      </w:r>
    </w:p>
    <w:p w14:paraId="283D72F8">
      <w:pPr>
        <w:spacing w:line="360" w:lineRule="auto"/>
        <w:ind w:firstLine="480"/>
        <w:rPr>
          <w:rFonts w:ascii="宋体" w:hAnsi="宋体"/>
          <w:color w:val="auto"/>
          <w:sz w:val="24"/>
          <w:highlight w:val="none"/>
        </w:rPr>
      </w:pPr>
      <w:r>
        <w:rPr>
          <w:rFonts w:hint="eastAsia" w:ascii="宋体" w:hAnsi="宋体"/>
          <w:color w:val="auto"/>
          <w:sz w:val="24"/>
          <w:highlight w:val="none"/>
        </w:rPr>
        <w:t>五、投标配置与分项报价表</w:t>
      </w:r>
    </w:p>
    <w:p w14:paraId="18222CFB">
      <w:pPr>
        <w:spacing w:line="360" w:lineRule="auto"/>
        <w:ind w:firstLine="480"/>
        <w:rPr>
          <w:rFonts w:ascii="宋体" w:hAnsi="宋体"/>
          <w:color w:val="auto"/>
          <w:sz w:val="24"/>
          <w:highlight w:val="none"/>
        </w:rPr>
      </w:pPr>
      <w:r>
        <w:rPr>
          <w:rFonts w:hint="eastAsia" w:ascii="宋体" w:hAnsi="宋体"/>
          <w:color w:val="auto"/>
          <w:sz w:val="24"/>
          <w:highlight w:val="none"/>
        </w:rPr>
        <w:t>六</w:t>
      </w:r>
      <w:r>
        <w:rPr>
          <w:rFonts w:hint="eastAsia" w:ascii="宋体" w:hAnsi="宋体" w:cs="Courier New"/>
          <w:color w:val="auto"/>
          <w:sz w:val="24"/>
          <w:szCs w:val="24"/>
          <w:highlight w:val="none"/>
        </w:rPr>
        <w:t>、</w:t>
      </w:r>
      <w:r>
        <w:rPr>
          <w:rFonts w:hint="eastAsia" w:ascii="宋体" w:hAnsi="宋体"/>
          <w:color w:val="auto"/>
          <w:sz w:val="24"/>
          <w:szCs w:val="24"/>
          <w:highlight w:val="none"/>
        </w:rPr>
        <w:t>技术参数响应及偏离表</w:t>
      </w:r>
    </w:p>
    <w:p w14:paraId="6300FA26">
      <w:pPr>
        <w:spacing w:line="360" w:lineRule="auto"/>
        <w:ind w:firstLine="480"/>
        <w:rPr>
          <w:rFonts w:ascii="宋体" w:hAnsi="宋体"/>
          <w:color w:val="auto"/>
          <w:sz w:val="24"/>
          <w:highlight w:val="none"/>
        </w:rPr>
      </w:pPr>
      <w:r>
        <w:rPr>
          <w:rFonts w:hint="eastAsia" w:ascii="宋体" w:hAnsi="宋体"/>
          <w:color w:val="auto"/>
          <w:sz w:val="24"/>
          <w:highlight w:val="none"/>
        </w:rPr>
        <w:t>七、商务条款响应及偏离表</w:t>
      </w:r>
    </w:p>
    <w:p w14:paraId="4EA1F799">
      <w:pPr>
        <w:spacing w:line="360" w:lineRule="auto"/>
        <w:ind w:firstLine="480"/>
        <w:rPr>
          <w:color w:val="auto"/>
          <w:sz w:val="36"/>
          <w:szCs w:val="36"/>
          <w:highlight w:val="none"/>
        </w:rPr>
      </w:pPr>
      <w:r>
        <w:rPr>
          <w:rFonts w:hint="eastAsia" w:ascii="宋体" w:hAnsi="宋体"/>
          <w:color w:val="auto"/>
          <w:sz w:val="24"/>
          <w:highlight w:val="none"/>
        </w:rPr>
        <w:t>八、其他 （投标人认为有必要提供的声明和文件，如有自拟并自行添加）</w:t>
      </w:r>
    </w:p>
    <w:p w14:paraId="7F77443E">
      <w:pPr>
        <w:spacing w:line="360" w:lineRule="auto"/>
        <w:contextualSpacing/>
        <w:jc w:val="left"/>
        <w:rPr>
          <w:rFonts w:ascii="宋体" w:hAnsi="宋体"/>
          <w:b/>
          <w:color w:val="auto"/>
          <w:sz w:val="72"/>
          <w:highlight w:val="none"/>
        </w:rPr>
      </w:pPr>
    </w:p>
    <w:p w14:paraId="162A2F46">
      <w:pPr>
        <w:spacing w:line="360" w:lineRule="auto"/>
        <w:contextualSpacing/>
        <w:rPr>
          <w:rFonts w:ascii="宋体" w:hAnsi="宋体"/>
          <w:b/>
          <w:color w:val="auto"/>
          <w:sz w:val="36"/>
          <w:highlight w:val="none"/>
        </w:rPr>
      </w:pPr>
    </w:p>
    <w:p w14:paraId="063CA0E1">
      <w:pPr>
        <w:spacing w:line="360" w:lineRule="auto"/>
        <w:contextualSpacing/>
        <w:rPr>
          <w:rFonts w:ascii="宋体" w:hAnsi="宋体"/>
          <w:b/>
          <w:color w:val="auto"/>
          <w:sz w:val="36"/>
          <w:highlight w:val="none"/>
        </w:rPr>
      </w:pPr>
    </w:p>
    <w:p w14:paraId="77F29ACD">
      <w:pPr>
        <w:spacing w:line="360" w:lineRule="auto"/>
        <w:contextualSpacing/>
        <w:rPr>
          <w:rFonts w:ascii="宋体" w:hAnsi="宋体"/>
          <w:b/>
          <w:color w:val="auto"/>
          <w:sz w:val="36"/>
          <w:highlight w:val="none"/>
        </w:rPr>
      </w:pPr>
    </w:p>
    <w:p w14:paraId="616DB86C">
      <w:pPr>
        <w:spacing w:line="360" w:lineRule="auto"/>
        <w:contextualSpacing/>
        <w:rPr>
          <w:rFonts w:ascii="宋体" w:hAnsi="宋体"/>
          <w:b/>
          <w:color w:val="auto"/>
          <w:sz w:val="36"/>
          <w:highlight w:val="none"/>
        </w:rPr>
      </w:pPr>
    </w:p>
    <w:p w14:paraId="3F0468F0">
      <w:pPr>
        <w:spacing w:line="360" w:lineRule="auto"/>
        <w:contextualSpacing/>
        <w:rPr>
          <w:rFonts w:ascii="宋体" w:hAnsi="宋体"/>
          <w:b/>
          <w:color w:val="auto"/>
          <w:sz w:val="36"/>
          <w:highlight w:val="none"/>
        </w:rPr>
      </w:pPr>
    </w:p>
    <w:p w14:paraId="573B7005">
      <w:pPr>
        <w:spacing w:line="360" w:lineRule="auto"/>
        <w:contextualSpacing/>
        <w:rPr>
          <w:rFonts w:ascii="宋体" w:hAnsi="宋体"/>
          <w:b/>
          <w:color w:val="auto"/>
          <w:sz w:val="36"/>
          <w:highlight w:val="none"/>
        </w:rPr>
      </w:pPr>
    </w:p>
    <w:p w14:paraId="0A5F40B7">
      <w:pPr>
        <w:spacing w:line="360" w:lineRule="auto"/>
        <w:contextualSpacing/>
        <w:rPr>
          <w:rFonts w:ascii="宋体" w:hAnsi="宋体"/>
          <w:b/>
          <w:color w:val="auto"/>
          <w:sz w:val="36"/>
          <w:highlight w:val="none"/>
        </w:rPr>
      </w:pPr>
    </w:p>
    <w:p w14:paraId="0654ACF2">
      <w:pPr>
        <w:spacing w:line="360" w:lineRule="auto"/>
        <w:rPr>
          <w:rFonts w:ascii="宋体" w:hAnsi="宋体"/>
          <w:b/>
          <w:color w:val="auto"/>
          <w:sz w:val="32"/>
          <w:szCs w:val="32"/>
          <w:highlight w:val="none"/>
        </w:rPr>
      </w:pPr>
    </w:p>
    <w:p w14:paraId="6BEA0B02">
      <w:pPr>
        <w:pStyle w:val="194"/>
        <w:spacing w:line="360" w:lineRule="auto"/>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bookmarkStart w:id="71" w:name="_Toc29480"/>
      <w:r>
        <w:rPr>
          <w:rFonts w:hint="eastAsia" w:ascii="宋体" w:hAnsi="宋体" w:eastAsia="宋体"/>
          <w:color w:val="auto"/>
          <w:sz w:val="32"/>
          <w:highlight w:val="none"/>
        </w:rPr>
        <w:t>一、资格审查响应对照表</w:t>
      </w:r>
      <w:bookmarkEnd w:id="71"/>
    </w:p>
    <w:tbl>
      <w:tblPr>
        <w:tblStyle w:val="38"/>
        <w:tblW w:w="93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6574"/>
        <w:gridCol w:w="2158"/>
      </w:tblGrid>
      <w:tr w14:paraId="6EB3D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646" w:type="dxa"/>
            <w:noWrap w:val="0"/>
            <w:vAlign w:val="center"/>
          </w:tcPr>
          <w:p w14:paraId="4A7B78D4">
            <w:pPr>
              <w:spacing w:line="360" w:lineRule="auto"/>
              <w:jc w:val="center"/>
              <w:rPr>
                <w:rFonts w:ascii="宋体" w:hAnsi="宋体"/>
                <w:b/>
                <w:color w:val="auto"/>
                <w:szCs w:val="21"/>
                <w:highlight w:val="none"/>
              </w:rPr>
            </w:pPr>
            <w:r>
              <w:rPr>
                <w:rFonts w:hint="eastAsia" w:ascii="宋体" w:hAnsi="宋体"/>
                <w:b/>
                <w:color w:val="auto"/>
                <w:szCs w:val="21"/>
                <w:highlight w:val="none"/>
              </w:rPr>
              <w:t>序号</w:t>
            </w:r>
          </w:p>
        </w:tc>
        <w:tc>
          <w:tcPr>
            <w:tcW w:w="6574" w:type="dxa"/>
            <w:noWrap w:val="0"/>
            <w:vAlign w:val="center"/>
          </w:tcPr>
          <w:p w14:paraId="501E751A">
            <w:pPr>
              <w:spacing w:line="360" w:lineRule="auto"/>
              <w:jc w:val="center"/>
              <w:rPr>
                <w:rFonts w:ascii="宋体" w:hAnsi="宋体"/>
                <w:b/>
                <w:color w:val="auto"/>
                <w:szCs w:val="21"/>
                <w:highlight w:val="none"/>
              </w:rPr>
            </w:pPr>
            <w:r>
              <w:rPr>
                <w:rFonts w:hint="eastAsia" w:ascii="宋体" w:hAnsi="宋体"/>
                <w:b/>
                <w:color w:val="auto"/>
                <w:szCs w:val="21"/>
                <w:highlight w:val="none"/>
              </w:rPr>
              <w:t>资格审查响应内容</w:t>
            </w:r>
          </w:p>
        </w:tc>
        <w:tc>
          <w:tcPr>
            <w:tcW w:w="2158" w:type="dxa"/>
            <w:noWrap w:val="0"/>
            <w:vAlign w:val="center"/>
          </w:tcPr>
          <w:p w14:paraId="19C783F5">
            <w:pPr>
              <w:jc w:val="center"/>
              <w:rPr>
                <w:rFonts w:ascii="宋体" w:hAnsi="宋体"/>
                <w:b/>
                <w:color w:val="auto"/>
                <w:szCs w:val="21"/>
                <w:highlight w:val="none"/>
              </w:rPr>
            </w:pPr>
            <w:r>
              <w:rPr>
                <w:rFonts w:hint="eastAsia" w:ascii="宋体" w:hAnsi="宋体"/>
                <w:b/>
                <w:color w:val="auto"/>
                <w:szCs w:val="21"/>
                <w:highlight w:val="none"/>
              </w:rPr>
              <w:t>是否响应</w:t>
            </w:r>
          </w:p>
          <w:p w14:paraId="2FC45074">
            <w:pPr>
              <w:jc w:val="center"/>
              <w:rPr>
                <w:rFonts w:ascii="宋体" w:hAnsi="宋体"/>
                <w:b/>
                <w:color w:val="auto"/>
                <w:szCs w:val="21"/>
                <w:highlight w:val="none"/>
              </w:rPr>
            </w:pPr>
            <w:r>
              <w:rPr>
                <w:rFonts w:hint="eastAsia" w:ascii="宋体" w:hAnsi="宋体"/>
                <w:b/>
                <w:color w:val="auto"/>
                <w:szCs w:val="21"/>
                <w:highlight w:val="none"/>
              </w:rPr>
              <w:t>（填是或者否并填写材料所在页码）</w:t>
            </w:r>
          </w:p>
        </w:tc>
      </w:tr>
      <w:tr w14:paraId="06FE7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9378" w:type="dxa"/>
            <w:gridSpan w:val="3"/>
            <w:noWrap w:val="0"/>
            <w:vAlign w:val="center"/>
          </w:tcPr>
          <w:p w14:paraId="0BB32BD3">
            <w:pPr>
              <w:spacing w:line="360" w:lineRule="auto"/>
              <w:rPr>
                <w:rFonts w:ascii="宋体" w:hAnsi="宋体"/>
                <w:b/>
                <w:color w:val="auto"/>
                <w:szCs w:val="21"/>
                <w:highlight w:val="none"/>
              </w:rPr>
            </w:pPr>
            <w:r>
              <w:rPr>
                <w:rFonts w:hint="eastAsia" w:ascii="宋体" w:hAnsi="宋体"/>
                <w:b/>
                <w:color w:val="auto"/>
                <w:szCs w:val="21"/>
                <w:highlight w:val="none"/>
              </w:rPr>
              <w:t>通用资格条件</w:t>
            </w:r>
          </w:p>
        </w:tc>
      </w:tr>
      <w:tr w14:paraId="63A85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646" w:type="dxa"/>
            <w:noWrap w:val="0"/>
            <w:vAlign w:val="center"/>
          </w:tcPr>
          <w:p w14:paraId="2C7C3DD8">
            <w:pPr>
              <w:spacing w:line="360" w:lineRule="auto"/>
              <w:jc w:val="center"/>
              <w:rPr>
                <w:rFonts w:ascii="宋体" w:hAnsi="宋体"/>
                <w:b/>
                <w:color w:val="auto"/>
                <w:szCs w:val="21"/>
                <w:highlight w:val="none"/>
              </w:rPr>
            </w:pPr>
            <w:r>
              <w:rPr>
                <w:rFonts w:hint="eastAsia" w:ascii="宋体" w:hAnsi="宋体"/>
                <w:color w:val="auto"/>
                <w:szCs w:val="21"/>
                <w:highlight w:val="none"/>
              </w:rPr>
              <w:t>1</w:t>
            </w:r>
          </w:p>
        </w:tc>
        <w:tc>
          <w:tcPr>
            <w:tcW w:w="6574" w:type="dxa"/>
            <w:noWrap w:val="0"/>
            <w:vAlign w:val="center"/>
          </w:tcPr>
          <w:p w14:paraId="1AE56CE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具有独立承担民事责任的能力（提供法人或者其他组织的营业执照等证明文件，自然人的身份证明复印件）</w:t>
            </w:r>
            <w:r>
              <w:rPr>
                <w:rFonts w:hint="eastAsia" w:ascii="宋体" w:hAnsi="宋体" w:cs="宋体"/>
                <w:i w:val="0"/>
                <w:iCs w:val="0"/>
                <w:color w:val="auto"/>
                <w:szCs w:val="21"/>
                <w:highlight w:val="none"/>
                <w:u w:val="none"/>
                <w:lang w:eastAsia="zh-CN"/>
              </w:rPr>
              <w:t>。</w:t>
            </w:r>
          </w:p>
        </w:tc>
        <w:tc>
          <w:tcPr>
            <w:tcW w:w="2158" w:type="dxa"/>
            <w:noWrap w:val="0"/>
            <w:vAlign w:val="center"/>
          </w:tcPr>
          <w:p w14:paraId="42A473C3">
            <w:pPr>
              <w:spacing w:line="360" w:lineRule="auto"/>
              <w:rPr>
                <w:rFonts w:ascii="宋体" w:hAnsi="宋体"/>
                <w:b/>
                <w:color w:val="auto"/>
                <w:szCs w:val="21"/>
                <w:highlight w:val="none"/>
              </w:rPr>
            </w:pPr>
          </w:p>
        </w:tc>
      </w:tr>
      <w:tr w14:paraId="4765F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69534A9C">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6574" w:type="dxa"/>
            <w:noWrap w:val="0"/>
            <w:vAlign w:val="center"/>
          </w:tcPr>
          <w:p w14:paraId="53EF1E3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具有良好的商业信誉和健全的财务会计制度</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提供开标</w:t>
            </w:r>
            <w:r>
              <w:rPr>
                <w:rFonts w:hint="eastAsia" w:ascii="宋体" w:hAnsi="宋体" w:cs="宋体"/>
                <w:color w:val="auto"/>
                <w:szCs w:val="21"/>
                <w:highlight w:val="none"/>
                <w:lang w:val="en-US" w:eastAsia="zh-CN"/>
              </w:rPr>
              <w:t>时间</w:t>
            </w:r>
            <w:r>
              <w:rPr>
                <w:rFonts w:hint="eastAsia" w:ascii="宋体" w:hAnsi="宋体" w:cs="宋体"/>
                <w:color w:val="auto"/>
                <w:szCs w:val="21"/>
                <w:highlight w:val="none"/>
              </w:rPr>
              <w:t>前</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个月内任意</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个月的财务状况报告(至少包括资产负债表和利润表)（法人或者其他组织成立未满</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个月的可以不提供）</w:t>
            </w:r>
            <w:r>
              <w:rPr>
                <w:rFonts w:hint="eastAsia" w:ascii="宋体" w:hAnsi="宋体" w:cs="宋体"/>
                <w:color w:val="auto"/>
                <w:szCs w:val="21"/>
                <w:highlight w:val="none"/>
                <w:lang w:eastAsia="zh-CN"/>
              </w:rPr>
              <w:t>、</w:t>
            </w:r>
            <w:r>
              <w:rPr>
                <w:rFonts w:hint="eastAsia" w:ascii="宋体" w:hAnsi="宋体" w:cs="宋体"/>
                <w:color w:val="auto"/>
                <w:szCs w:val="21"/>
                <w:highlight w:val="none"/>
              </w:rPr>
              <w:t>或开标</w:t>
            </w:r>
            <w:r>
              <w:rPr>
                <w:rFonts w:hint="eastAsia" w:ascii="宋体" w:hAnsi="宋体" w:cs="宋体"/>
                <w:color w:val="auto"/>
                <w:szCs w:val="21"/>
                <w:highlight w:val="none"/>
                <w:lang w:val="en-US" w:eastAsia="zh-CN"/>
              </w:rPr>
              <w:t>时间</w:t>
            </w:r>
            <w:r>
              <w:rPr>
                <w:rFonts w:hint="eastAsia" w:ascii="宋体" w:hAnsi="宋体" w:cs="宋体"/>
                <w:color w:val="auto"/>
                <w:szCs w:val="21"/>
                <w:highlight w:val="none"/>
              </w:rPr>
              <w:t>前</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个月内银行出具的资信证书复印件</w:t>
            </w:r>
            <w:r>
              <w:rPr>
                <w:rFonts w:hint="eastAsia" w:ascii="宋体" w:hAnsi="宋体" w:cs="宋体"/>
                <w:color w:val="auto"/>
                <w:szCs w:val="21"/>
                <w:highlight w:val="none"/>
                <w:lang w:eastAsia="zh-CN"/>
              </w:rPr>
              <w:t>、</w:t>
            </w:r>
            <w:r>
              <w:rPr>
                <w:rFonts w:hint="eastAsia" w:ascii="宋体" w:hAnsi="宋体" w:cs="宋体"/>
                <w:color w:val="auto"/>
                <w:szCs w:val="21"/>
                <w:highlight w:val="none"/>
              </w:rPr>
              <w:t>或其上一年度经审计的财务报告复印件</w:t>
            </w:r>
            <w:r>
              <w:rPr>
                <w:rFonts w:hint="eastAsia" w:ascii="宋体" w:hAnsi="宋体" w:cs="宋体"/>
                <w:color w:val="auto"/>
                <w:szCs w:val="21"/>
                <w:highlight w:val="none"/>
                <w:lang w:eastAsia="zh-CN"/>
              </w:rPr>
              <w:t>）。</w:t>
            </w:r>
          </w:p>
        </w:tc>
        <w:tc>
          <w:tcPr>
            <w:tcW w:w="2158" w:type="dxa"/>
            <w:noWrap w:val="0"/>
            <w:vAlign w:val="center"/>
          </w:tcPr>
          <w:p w14:paraId="3321E967">
            <w:pPr>
              <w:spacing w:line="360" w:lineRule="auto"/>
              <w:rPr>
                <w:rFonts w:ascii="宋体" w:hAnsi="宋体"/>
                <w:color w:val="auto"/>
                <w:szCs w:val="21"/>
                <w:highlight w:val="none"/>
              </w:rPr>
            </w:pPr>
          </w:p>
        </w:tc>
      </w:tr>
      <w:tr w14:paraId="0A506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7232E9B">
            <w:pPr>
              <w:spacing w:line="360" w:lineRule="auto"/>
              <w:jc w:val="center"/>
              <w:rPr>
                <w:rFonts w:ascii="宋体" w:hAnsi="宋体"/>
                <w:color w:val="auto"/>
                <w:szCs w:val="21"/>
                <w:highlight w:val="none"/>
              </w:rPr>
            </w:pPr>
            <w:r>
              <w:rPr>
                <w:rFonts w:hint="eastAsia" w:ascii="宋体" w:hAnsi="宋体"/>
                <w:color w:val="auto"/>
                <w:szCs w:val="21"/>
                <w:highlight w:val="none"/>
              </w:rPr>
              <w:t>3</w:t>
            </w:r>
          </w:p>
        </w:tc>
        <w:tc>
          <w:tcPr>
            <w:tcW w:w="6574" w:type="dxa"/>
            <w:noWrap w:val="0"/>
            <w:vAlign w:val="center"/>
          </w:tcPr>
          <w:p w14:paraId="73E99CE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具有履行合同所必需的设备和专业技术能力（根据项目需求提供履行合同所必需的设备和专业技术能</w:t>
            </w:r>
            <w:r>
              <w:rPr>
                <w:rFonts w:hint="eastAsia" w:ascii="宋体" w:hAnsi="宋体" w:cs="宋体"/>
                <w:color w:val="auto"/>
                <w:szCs w:val="21"/>
                <w:highlight w:val="none"/>
                <w:lang w:val="en-US" w:eastAsia="zh-CN"/>
              </w:rPr>
              <w:t>保修</w:t>
            </w:r>
            <w:r>
              <w:rPr>
                <w:rFonts w:hint="eastAsia" w:ascii="宋体" w:hAnsi="宋体" w:cs="宋体"/>
                <w:color w:val="auto"/>
                <w:szCs w:val="21"/>
                <w:highlight w:val="none"/>
              </w:rPr>
              <w:t>力的证明材料复印件或</w:t>
            </w:r>
            <w:r>
              <w:rPr>
                <w:rFonts w:hint="eastAsia" w:ascii="宋体" w:hAnsi="宋体" w:cs="宋体"/>
                <w:color w:val="auto"/>
                <w:szCs w:val="21"/>
                <w:highlight w:val="none"/>
                <w:lang w:val="en-US" w:eastAsia="zh-CN"/>
              </w:rPr>
              <w:t>声明函</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tc>
        <w:tc>
          <w:tcPr>
            <w:tcW w:w="2158" w:type="dxa"/>
            <w:noWrap w:val="0"/>
            <w:vAlign w:val="center"/>
          </w:tcPr>
          <w:p w14:paraId="5C190DC4">
            <w:pPr>
              <w:spacing w:line="360" w:lineRule="auto"/>
              <w:rPr>
                <w:rFonts w:ascii="宋体" w:hAnsi="宋体"/>
                <w:color w:val="auto"/>
                <w:szCs w:val="21"/>
                <w:highlight w:val="none"/>
              </w:rPr>
            </w:pPr>
          </w:p>
        </w:tc>
      </w:tr>
      <w:tr w14:paraId="7038B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73A48923">
            <w:pPr>
              <w:spacing w:line="360" w:lineRule="auto"/>
              <w:jc w:val="center"/>
              <w:rPr>
                <w:rFonts w:ascii="宋体" w:hAnsi="宋体"/>
                <w:color w:val="auto"/>
                <w:szCs w:val="21"/>
                <w:highlight w:val="none"/>
              </w:rPr>
            </w:pPr>
            <w:r>
              <w:rPr>
                <w:rFonts w:hint="eastAsia" w:ascii="宋体" w:hAnsi="宋体"/>
                <w:color w:val="auto"/>
                <w:szCs w:val="21"/>
                <w:highlight w:val="none"/>
              </w:rPr>
              <w:t>4</w:t>
            </w:r>
          </w:p>
        </w:tc>
        <w:tc>
          <w:tcPr>
            <w:tcW w:w="6574" w:type="dxa"/>
            <w:noWrap w:val="0"/>
            <w:vAlign w:val="center"/>
          </w:tcPr>
          <w:p w14:paraId="7A4913A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有依法缴纳税收和社会保障资金的良好记录（提供开标</w:t>
            </w:r>
            <w:r>
              <w:rPr>
                <w:rFonts w:hint="eastAsia" w:ascii="宋体" w:hAnsi="宋体" w:cs="宋体"/>
                <w:color w:val="auto"/>
                <w:szCs w:val="21"/>
                <w:highlight w:val="none"/>
                <w:lang w:val="en-US" w:eastAsia="zh-CN"/>
              </w:rPr>
              <w:t>时间</w:t>
            </w:r>
            <w:r>
              <w:rPr>
                <w:rFonts w:hint="eastAsia" w:ascii="宋体" w:hAnsi="宋体" w:cs="宋体"/>
                <w:color w:val="auto"/>
                <w:szCs w:val="21"/>
                <w:highlight w:val="none"/>
              </w:rPr>
              <w:t>前</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个月内任意</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个月依法缴纳税收和社会保障资金的相关材料复印件，依法享受免缴、缓缴的提供证明材料复印件）</w:t>
            </w:r>
            <w:r>
              <w:rPr>
                <w:rFonts w:hint="eastAsia" w:ascii="宋体" w:hAnsi="宋体" w:cs="宋体"/>
                <w:color w:val="auto"/>
                <w:szCs w:val="21"/>
                <w:highlight w:val="none"/>
                <w:lang w:val="en-US" w:eastAsia="zh-CN"/>
              </w:rPr>
              <w:t>。</w:t>
            </w:r>
          </w:p>
        </w:tc>
        <w:tc>
          <w:tcPr>
            <w:tcW w:w="2158" w:type="dxa"/>
            <w:noWrap w:val="0"/>
            <w:vAlign w:val="center"/>
          </w:tcPr>
          <w:p w14:paraId="6CE9BDDD">
            <w:pPr>
              <w:spacing w:line="360" w:lineRule="auto"/>
              <w:rPr>
                <w:rFonts w:ascii="宋体" w:hAnsi="宋体"/>
                <w:color w:val="auto"/>
                <w:szCs w:val="21"/>
                <w:highlight w:val="none"/>
              </w:rPr>
            </w:pPr>
          </w:p>
        </w:tc>
      </w:tr>
      <w:tr w14:paraId="17C7F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2EA7DF82">
            <w:pPr>
              <w:spacing w:line="360" w:lineRule="auto"/>
              <w:jc w:val="center"/>
              <w:rPr>
                <w:rFonts w:ascii="宋体" w:hAnsi="宋体"/>
                <w:color w:val="auto"/>
                <w:szCs w:val="21"/>
                <w:highlight w:val="none"/>
              </w:rPr>
            </w:pPr>
            <w:r>
              <w:rPr>
                <w:rFonts w:hint="eastAsia" w:ascii="宋体" w:hAnsi="宋体"/>
                <w:color w:val="auto"/>
                <w:szCs w:val="21"/>
                <w:highlight w:val="none"/>
              </w:rPr>
              <w:t>5</w:t>
            </w:r>
          </w:p>
        </w:tc>
        <w:tc>
          <w:tcPr>
            <w:tcW w:w="6574" w:type="dxa"/>
            <w:noWrap w:val="0"/>
            <w:vAlign w:val="center"/>
          </w:tcPr>
          <w:p w14:paraId="342EB61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参加政府采购活动前</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年内，在经营活动中没有重大违法记录（提供声明函原件（重大违法记录是指供应商因违法经营受到刑事处罚或责令停产停业、吊销许可证或者执照、较大数额罚款等行政处罚））。</w:t>
            </w:r>
          </w:p>
        </w:tc>
        <w:tc>
          <w:tcPr>
            <w:tcW w:w="2158" w:type="dxa"/>
            <w:noWrap w:val="0"/>
            <w:vAlign w:val="center"/>
          </w:tcPr>
          <w:p w14:paraId="2C3BA1F0">
            <w:pPr>
              <w:spacing w:line="360" w:lineRule="auto"/>
              <w:rPr>
                <w:rFonts w:ascii="宋体" w:hAnsi="宋体"/>
                <w:color w:val="auto"/>
                <w:szCs w:val="21"/>
                <w:highlight w:val="none"/>
              </w:rPr>
            </w:pPr>
          </w:p>
        </w:tc>
      </w:tr>
      <w:tr w14:paraId="7901E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trPr>
        <w:tc>
          <w:tcPr>
            <w:tcW w:w="646" w:type="dxa"/>
            <w:noWrap w:val="0"/>
            <w:vAlign w:val="center"/>
          </w:tcPr>
          <w:p w14:paraId="64F0CBB4">
            <w:pPr>
              <w:spacing w:line="360" w:lineRule="auto"/>
              <w:jc w:val="center"/>
              <w:rPr>
                <w:rFonts w:ascii="宋体" w:hAnsi="宋体"/>
                <w:color w:val="auto"/>
                <w:szCs w:val="21"/>
                <w:highlight w:val="none"/>
              </w:rPr>
            </w:pPr>
            <w:r>
              <w:rPr>
                <w:rFonts w:hint="eastAsia" w:ascii="宋体" w:hAnsi="宋体"/>
                <w:color w:val="auto"/>
                <w:szCs w:val="21"/>
                <w:highlight w:val="none"/>
              </w:rPr>
              <w:t>6</w:t>
            </w:r>
          </w:p>
        </w:tc>
        <w:tc>
          <w:tcPr>
            <w:tcW w:w="6574" w:type="dxa"/>
            <w:noWrap w:val="0"/>
            <w:vAlign w:val="center"/>
          </w:tcPr>
          <w:p w14:paraId="5301863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法律、行政法规规定的其他条件。</w:t>
            </w:r>
          </w:p>
        </w:tc>
        <w:tc>
          <w:tcPr>
            <w:tcW w:w="2158" w:type="dxa"/>
            <w:noWrap w:val="0"/>
            <w:vAlign w:val="center"/>
          </w:tcPr>
          <w:p w14:paraId="7C08025F">
            <w:pPr>
              <w:spacing w:line="360" w:lineRule="auto"/>
              <w:rPr>
                <w:rFonts w:ascii="宋体" w:hAnsi="宋体"/>
                <w:color w:val="auto"/>
                <w:szCs w:val="21"/>
                <w:highlight w:val="none"/>
              </w:rPr>
            </w:pPr>
          </w:p>
        </w:tc>
      </w:tr>
      <w:tr w14:paraId="2B66A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378" w:type="dxa"/>
            <w:gridSpan w:val="3"/>
            <w:noWrap w:val="0"/>
            <w:vAlign w:val="center"/>
          </w:tcPr>
          <w:p w14:paraId="72B0DDEE">
            <w:pPr>
              <w:spacing w:line="360" w:lineRule="auto"/>
              <w:rPr>
                <w:rFonts w:ascii="宋体" w:hAnsi="宋体"/>
                <w:color w:val="auto"/>
                <w:szCs w:val="21"/>
                <w:highlight w:val="none"/>
              </w:rPr>
            </w:pPr>
            <w:r>
              <w:rPr>
                <w:rFonts w:hint="eastAsia" w:ascii="宋体" w:hAnsi="宋体" w:cs="宋体"/>
                <w:b/>
                <w:bCs/>
                <w:color w:val="auto"/>
                <w:szCs w:val="21"/>
                <w:highlight w:val="none"/>
              </w:rPr>
              <w:t>落实政府采购政策需满足的资格要求</w:t>
            </w:r>
          </w:p>
        </w:tc>
      </w:tr>
      <w:tr w14:paraId="36027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79D53E46">
            <w:pPr>
              <w:spacing w:line="360" w:lineRule="auto"/>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7</w:t>
            </w:r>
          </w:p>
        </w:tc>
        <w:tc>
          <w:tcPr>
            <w:tcW w:w="6574" w:type="dxa"/>
            <w:noWrap w:val="0"/>
            <w:vAlign w:val="center"/>
          </w:tcPr>
          <w:p w14:paraId="792895D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本项目为专门面向中小企业项目。</w:t>
            </w:r>
          </w:p>
          <w:p w14:paraId="0B7BE7CB">
            <w:pPr>
              <w:spacing w:line="360" w:lineRule="auto"/>
              <w:rPr>
                <w:color w:val="auto"/>
                <w:highlight w:val="none"/>
              </w:rPr>
            </w:pPr>
            <w:r>
              <w:rPr>
                <w:rFonts w:hint="eastAsia" w:ascii="宋体" w:hAnsi="宋体" w:cs="宋体"/>
                <w:color w:val="auto"/>
                <w:szCs w:val="21"/>
                <w:highlight w:val="none"/>
              </w:rPr>
              <w:t>本项目属于货物类采购。根据《政府采购促进中小企业发展管理办法》（财库〔2020〕46号）、《关于做好政府采购支持企业发展有关事项的通知》(苏财购(2020)52号)的要求，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tc>
        <w:tc>
          <w:tcPr>
            <w:tcW w:w="2158" w:type="dxa"/>
            <w:noWrap w:val="0"/>
            <w:vAlign w:val="center"/>
          </w:tcPr>
          <w:p w14:paraId="2C3F1251">
            <w:pPr>
              <w:spacing w:line="360" w:lineRule="auto"/>
              <w:rPr>
                <w:rFonts w:ascii="宋体" w:hAnsi="宋体"/>
                <w:color w:val="auto"/>
                <w:szCs w:val="21"/>
                <w:highlight w:val="none"/>
              </w:rPr>
            </w:pPr>
          </w:p>
        </w:tc>
      </w:tr>
      <w:tr w14:paraId="5919E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43641EF5">
            <w:pPr>
              <w:spacing w:line="360" w:lineRule="auto"/>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8</w:t>
            </w:r>
          </w:p>
        </w:tc>
        <w:tc>
          <w:tcPr>
            <w:tcW w:w="6574" w:type="dxa"/>
            <w:noWrap w:val="0"/>
            <w:vAlign w:val="center"/>
          </w:tcPr>
          <w:p w14:paraId="11CD7FB4">
            <w:pPr>
              <w:spacing w:line="360" w:lineRule="auto"/>
              <w:rPr>
                <w:rFonts w:ascii="宋体" w:hAnsi="宋体" w:cs="宋体"/>
                <w:color w:val="auto"/>
                <w:szCs w:val="21"/>
                <w:highlight w:val="none"/>
              </w:rPr>
            </w:pPr>
            <w:r>
              <w:rPr>
                <w:rFonts w:ascii="宋体" w:hAnsi="宋体" w:cs="宋体"/>
                <w:color w:val="auto"/>
                <w:szCs w:val="21"/>
                <w:highlight w:val="none"/>
              </w:rPr>
              <w:t>中小微企业划型标准请对照《关于印发中小企业划型标准规定的通知》（工信部联企业〔2011〕300号）（详见附件）。本项目采购标的对应的行业主要为</w:t>
            </w:r>
            <w:r>
              <w:rPr>
                <w:rFonts w:ascii="宋体" w:hAnsi="宋体" w:cs="宋体"/>
                <w:color w:val="auto"/>
                <w:szCs w:val="21"/>
                <w:highlight w:val="none"/>
                <w:u w:val="single"/>
              </w:rPr>
              <w:t>工业</w:t>
            </w:r>
          </w:p>
        </w:tc>
        <w:tc>
          <w:tcPr>
            <w:tcW w:w="2158" w:type="dxa"/>
            <w:noWrap w:val="0"/>
            <w:vAlign w:val="center"/>
          </w:tcPr>
          <w:p w14:paraId="784B70EC">
            <w:pPr>
              <w:spacing w:line="360" w:lineRule="auto"/>
              <w:rPr>
                <w:rFonts w:ascii="宋体" w:hAnsi="宋体"/>
                <w:color w:val="auto"/>
                <w:szCs w:val="21"/>
                <w:highlight w:val="none"/>
              </w:rPr>
            </w:pPr>
          </w:p>
        </w:tc>
      </w:tr>
      <w:tr w14:paraId="46B1B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378" w:type="dxa"/>
            <w:gridSpan w:val="3"/>
            <w:noWrap w:val="0"/>
            <w:vAlign w:val="center"/>
          </w:tcPr>
          <w:p w14:paraId="0FDCC1C9">
            <w:pPr>
              <w:spacing w:line="360" w:lineRule="auto"/>
              <w:rPr>
                <w:rFonts w:ascii="宋体" w:hAnsi="宋体"/>
                <w:color w:val="auto"/>
                <w:szCs w:val="21"/>
                <w:highlight w:val="none"/>
              </w:rPr>
            </w:pPr>
            <w:r>
              <w:rPr>
                <w:rFonts w:hint="eastAsia" w:ascii="宋体" w:hAnsi="宋体"/>
                <w:b/>
                <w:color w:val="auto"/>
                <w:szCs w:val="21"/>
                <w:highlight w:val="none"/>
              </w:rPr>
              <w:t>特定资格条件</w:t>
            </w:r>
          </w:p>
        </w:tc>
      </w:tr>
      <w:tr w14:paraId="7B895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7720A51F">
            <w:pPr>
              <w:spacing w:line="360" w:lineRule="auto"/>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9</w:t>
            </w:r>
          </w:p>
        </w:tc>
        <w:tc>
          <w:tcPr>
            <w:tcW w:w="6574" w:type="dxa"/>
            <w:noWrap w:val="0"/>
            <w:vAlign w:val="center"/>
          </w:tcPr>
          <w:p w14:paraId="2CA7E271">
            <w:pPr>
              <w:numPr>
                <w:ilvl w:val="0"/>
                <w:numId w:val="0"/>
              </w:numPr>
              <w:pBdr>
                <w:top w:val="none" w:color="000000" w:sz="0" w:space="0"/>
                <w:left w:val="none" w:color="000000" w:sz="0" w:space="0"/>
                <w:bottom w:val="none" w:color="000000" w:sz="0" w:space="0"/>
                <w:right w:val="none" w:color="000000" w:sz="0" w:space="0"/>
              </w:pBdr>
              <w:spacing w:line="360" w:lineRule="auto"/>
              <w:rPr>
                <w:rFonts w:hint="eastAsia" w:ascii="宋体" w:hAnsi="宋体"/>
                <w:iCs/>
                <w:color w:val="auto"/>
                <w:szCs w:val="21"/>
                <w:highlight w:val="none"/>
              </w:rPr>
            </w:pPr>
            <w:r>
              <w:rPr>
                <w:rFonts w:hint="eastAsia" w:ascii="宋体" w:hAnsi="宋体"/>
                <w:iCs/>
                <w:color w:val="auto"/>
                <w:szCs w:val="21"/>
                <w:highlight w:val="none"/>
              </w:rPr>
              <w:t>1.特定资格条件：</w:t>
            </w:r>
          </w:p>
          <w:p w14:paraId="641E1293">
            <w:pPr>
              <w:numPr>
                <w:ilvl w:val="0"/>
                <w:numId w:val="0"/>
              </w:numPr>
              <w:pBdr>
                <w:top w:val="none" w:color="000000" w:sz="0" w:space="0"/>
                <w:left w:val="none" w:color="000000" w:sz="0" w:space="0"/>
                <w:bottom w:val="none" w:color="000000" w:sz="0" w:space="0"/>
                <w:right w:val="none" w:color="000000" w:sz="0" w:space="0"/>
              </w:pBdr>
              <w:spacing w:line="360" w:lineRule="auto"/>
              <w:rPr>
                <w:rFonts w:hint="eastAsia" w:ascii="宋体" w:hAnsi="宋体"/>
                <w:iCs/>
                <w:color w:val="auto"/>
                <w:szCs w:val="21"/>
                <w:highlight w:val="none"/>
              </w:rPr>
            </w:pPr>
            <w:r>
              <w:rPr>
                <w:rFonts w:hint="eastAsia" w:ascii="宋体" w:hAnsi="宋体"/>
                <w:iCs/>
                <w:color w:val="auto"/>
                <w:szCs w:val="21"/>
                <w:highlight w:val="none"/>
              </w:rPr>
              <w:t>（1）本项目不接受进口产品参与投标（注：指产品而非构成产品的零部件或者原材料，本文件所称进口产品是指通过中国海关报关验放进入中国境内且产自关境外的产品）。</w:t>
            </w:r>
          </w:p>
          <w:p w14:paraId="4232E847">
            <w:pPr>
              <w:numPr>
                <w:ilvl w:val="0"/>
                <w:numId w:val="0"/>
              </w:numPr>
              <w:pBdr>
                <w:top w:val="none" w:color="000000" w:sz="0" w:space="0"/>
                <w:left w:val="none" w:color="000000" w:sz="0" w:space="0"/>
                <w:bottom w:val="none" w:color="000000" w:sz="0" w:space="0"/>
                <w:right w:val="none" w:color="000000" w:sz="0" w:space="0"/>
              </w:pBdr>
              <w:spacing w:line="360" w:lineRule="auto"/>
              <w:rPr>
                <w:rFonts w:hint="eastAsia" w:ascii="宋体" w:hAnsi="宋体"/>
                <w:iCs/>
                <w:color w:val="auto"/>
                <w:szCs w:val="21"/>
                <w:highlight w:val="none"/>
              </w:rPr>
            </w:pPr>
            <w:r>
              <w:rPr>
                <w:rFonts w:hint="eastAsia" w:ascii="宋体" w:hAnsi="宋体"/>
                <w:iCs/>
                <w:color w:val="auto"/>
                <w:szCs w:val="21"/>
                <w:highlight w:val="none"/>
              </w:rPr>
              <w:t>（2）投标人应根据投标产品的类别，提供《医疗器械经营企业许可证》或者《医疗器械经营备案凭证》。（提供证书复印件）</w:t>
            </w:r>
          </w:p>
          <w:p w14:paraId="1AA6ACFB">
            <w:pPr>
              <w:numPr>
                <w:ilvl w:val="0"/>
                <w:numId w:val="0"/>
              </w:numPr>
              <w:pBdr>
                <w:top w:val="none" w:color="000000" w:sz="0" w:space="0"/>
                <w:left w:val="none" w:color="000000" w:sz="0" w:space="0"/>
                <w:bottom w:val="none" w:color="000000" w:sz="0" w:space="0"/>
                <w:right w:val="none" w:color="000000" w:sz="0" w:space="0"/>
              </w:pBdr>
              <w:spacing w:line="360" w:lineRule="auto"/>
              <w:rPr>
                <w:rFonts w:hint="eastAsia" w:ascii="宋体" w:hAnsi="宋体"/>
                <w:iCs/>
                <w:color w:val="auto"/>
                <w:szCs w:val="21"/>
                <w:highlight w:val="none"/>
              </w:rPr>
            </w:pPr>
            <w:r>
              <w:rPr>
                <w:rFonts w:hint="eastAsia" w:ascii="宋体" w:hAnsi="宋体"/>
                <w:iCs/>
                <w:color w:val="auto"/>
                <w:szCs w:val="21"/>
                <w:highlight w:val="none"/>
              </w:rPr>
              <w:t>（3）投标人须提供投标产品的《医疗器械注册证》。（提供证书复印件）</w:t>
            </w:r>
          </w:p>
        </w:tc>
        <w:tc>
          <w:tcPr>
            <w:tcW w:w="2158" w:type="dxa"/>
            <w:noWrap w:val="0"/>
            <w:vAlign w:val="center"/>
          </w:tcPr>
          <w:p w14:paraId="2ACD5102">
            <w:pPr>
              <w:spacing w:line="360" w:lineRule="auto"/>
              <w:rPr>
                <w:rFonts w:ascii="宋体" w:hAnsi="宋体"/>
                <w:color w:val="auto"/>
                <w:szCs w:val="21"/>
                <w:highlight w:val="none"/>
              </w:rPr>
            </w:pPr>
          </w:p>
        </w:tc>
      </w:tr>
      <w:tr w14:paraId="35C60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6B1A1358">
            <w:pPr>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10</w:t>
            </w:r>
          </w:p>
        </w:tc>
        <w:tc>
          <w:tcPr>
            <w:tcW w:w="6574" w:type="dxa"/>
            <w:noWrap w:val="0"/>
            <w:vAlign w:val="center"/>
          </w:tcPr>
          <w:p w14:paraId="581949B1">
            <w:pPr>
              <w:pBdr>
                <w:top w:val="none" w:color="000000" w:sz="0" w:space="0"/>
                <w:left w:val="none" w:color="000000" w:sz="0" w:space="0"/>
                <w:bottom w:val="none" w:color="000000" w:sz="0" w:space="0"/>
                <w:right w:val="none" w:color="000000" w:sz="0" w:space="0"/>
              </w:pBdr>
              <w:spacing w:line="360" w:lineRule="auto"/>
              <w:rPr>
                <w:rFonts w:hint="eastAsia" w:ascii="宋体" w:hAnsi="宋体"/>
                <w:iCs/>
                <w:color w:val="auto"/>
                <w:szCs w:val="21"/>
                <w:highlight w:val="none"/>
              </w:rPr>
            </w:pPr>
            <w:r>
              <w:rPr>
                <w:rFonts w:hint="eastAsia" w:ascii="宋体" w:hAnsi="宋体"/>
                <w:iCs/>
                <w:color w:val="auto"/>
                <w:szCs w:val="21"/>
                <w:highlight w:val="none"/>
              </w:rPr>
              <w:t>供应商存在下列情形的不得参加本次采购活动：</w:t>
            </w:r>
          </w:p>
          <w:p w14:paraId="618460F6">
            <w:pPr>
              <w:pBdr>
                <w:top w:val="none" w:color="000000" w:sz="0" w:space="0"/>
                <w:left w:val="none" w:color="000000" w:sz="0" w:space="0"/>
                <w:bottom w:val="none" w:color="000000" w:sz="0" w:space="0"/>
                <w:right w:val="none" w:color="000000" w:sz="0" w:space="0"/>
              </w:pBdr>
              <w:spacing w:line="360" w:lineRule="auto"/>
              <w:rPr>
                <w:rFonts w:hint="eastAsia" w:ascii="宋体" w:hAnsi="宋体"/>
                <w:iCs/>
                <w:color w:val="auto"/>
                <w:szCs w:val="21"/>
                <w:highlight w:val="none"/>
              </w:rPr>
            </w:pPr>
            <w:r>
              <w:rPr>
                <w:rFonts w:hint="eastAsia" w:ascii="宋体" w:hAnsi="宋体"/>
                <w:iCs/>
                <w:color w:val="auto"/>
                <w:szCs w:val="21"/>
                <w:highlight w:val="none"/>
              </w:rPr>
              <w:t>（1）单位负责人为同一人或者存在直接控股、管理关系的不同供应商，不得参加同一合同项下的政府采购活动。</w:t>
            </w:r>
          </w:p>
          <w:p w14:paraId="6F895F8C">
            <w:pPr>
              <w:pBdr>
                <w:top w:val="none" w:color="000000" w:sz="0" w:space="0"/>
                <w:left w:val="none" w:color="000000" w:sz="0" w:space="0"/>
                <w:bottom w:val="none" w:color="000000" w:sz="0" w:space="0"/>
                <w:right w:val="none" w:color="000000" w:sz="0" w:space="0"/>
              </w:pBdr>
              <w:spacing w:line="360" w:lineRule="auto"/>
              <w:rPr>
                <w:rFonts w:hint="eastAsia" w:ascii="宋体" w:hAnsi="宋体"/>
                <w:iCs/>
                <w:color w:val="auto"/>
                <w:szCs w:val="21"/>
                <w:highlight w:val="none"/>
              </w:rPr>
            </w:pPr>
            <w:r>
              <w:rPr>
                <w:rFonts w:hint="eastAsia" w:ascii="宋体" w:hAnsi="宋体"/>
                <w:iCs/>
                <w:color w:val="auto"/>
                <w:szCs w:val="21"/>
                <w:highlight w:val="none"/>
              </w:rPr>
              <w:t>（2）除单一来源项目外，凡为采购项目提供整体设计、规范编制或者项目管理、检测等服务的供应商不得再参加本项目的采购活动。</w:t>
            </w:r>
          </w:p>
          <w:p w14:paraId="4D486528">
            <w:pPr>
              <w:pBdr>
                <w:top w:val="none" w:color="000000" w:sz="0" w:space="0"/>
                <w:left w:val="none" w:color="000000" w:sz="0" w:space="0"/>
                <w:bottom w:val="none" w:color="000000" w:sz="0" w:space="0"/>
                <w:right w:val="none" w:color="000000" w:sz="0" w:space="0"/>
              </w:pBdr>
              <w:spacing w:line="360" w:lineRule="auto"/>
              <w:rPr>
                <w:rFonts w:ascii="宋体" w:hAnsi="宋体"/>
                <w:iCs/>
                <w:color w:val="auto"/>
                <w:szCs w:val="21"/>
                <w:highlight w:val="none"/>
              </w:rPr>
            </w:pPr>
            <w:r>
              <w:rPr>
                <w:rFonts w:hint="eastAsia" w:ascii="宋体" w:hAnsi="宋体"/>
                <w:iCs/>
                <w:color w:val="auto"/>
                <w:szCs w:val="21"/>
                <w:highlight w:val="none"/>
              </w:rPr>
              <w:t>（3）通过“信用中国”网站（http://www.creditchina.gov.cn）、“中国政府采购网”（http://www.ccgp.gov.cn）查询供应商的信用记录，通过以上查询渠道，供应商被列入失信被执行人、重大税收违法失信主体、政府采购严重违法失信行为记录。（查询时间为响应截止时间以后、资格审查阶段采购人或采购代理机构的实际查询时间）</w:t>
            </w:r>
          </w:p>
        </w:tc>
        <w:tc>
          <w:tcPr>
            <w:tcW w:w="2158" w:type="dxa"/>
            <w:noWrap w:val="0"/>
            <w:vAlign w:val="center"/>
          </w:tcPr>
          <w:p w14:paraId="32BB0A28">
            <w:pPr>
              <w:spacing w:line="360" w:lineRule="auto"/>
              <w:rPr>
                <w:rFonts w:ascii="宋体" w:hAnsi="宋体"/>
                <w:color w:val="auto"/>
                <w:szCs w:val="21"/>
                <w:highlight w:val="none"/>
              </w:rPr>
            </w:pPr>
          </w:p>
        </w:tc>
      </w:tr>
      <w:tr w14:paraId="3F455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1C9B6158">
            <w:pPr>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11</w:t>
            </w:r>
          </w:p>
        </w:tc>
        <w:tc>
          <w:tcPr>
            <w:tcW w:w="6574" w:type="dxa"/>
            <w:noWrap w:val="0"/>
            <w:vAlign w:val="center"/>
          </w:tcPr>
          <w:p w14:paraId="361915D6">
            <w:pPr>
              <w:pBdr>
                <w:top w:val="none" w:color="000000" w:sz="0" w:space="0"/>
                <w:left w:val="none" w:color="000000" w:sz="0" w:space="0"/>
                <w:bottom w:val="none" w:color="000000" w:sz="0" w:space="0"/>
                <w:right w:val="none" w:color="000000" w:sz="0" w:space="0"/>
              </w:pBdr>
              <w:spacing w:line="360" w:lineRule="auto"/>
              <w:rPr>
                <w:rFonts w:ascii="宋体" w:hAnsi="宋体"/>
                <w:iCs/>
                <w:color w:val="auto"/>
                <w:szCs w:val="21"/>
                <w:highlight w:val="none"/>
              </w:rPr>
            </w:pPr>
            <w:r>
              <w:rPr>
                <w:rFonts w:hint="eastAsia" w:ascii="宋体" w:hAnsi="宋体"/>
                <w:iCs/>
                <w:color w:val="auto"/>
                <w:szCs w:val="21"/>
                <w:highlight w:val="none"/>
              </w:rPr>
              <w:t>投标人信用承诺函</w:t>
            </w:r>
          </w:p>
        </w:tc>
        <w:tc>
          <w:tcPr>
            <w:tcW w:w="2158" w:type="dxa"/>
            <w:noWrap w:val="0"/>
            <w:vAlign w:val="center"/>
          </w:tcPr>
          <w:p w14:paraId="3A2F1180">
            <w:pPr>
              <w:spacing w:line="360" w:lineRule="auto"/>
              <w:rPr>
                <w:rFonts w:ascii="宋体" w:hAnsi="宋体"/>
                <w:color w:val="auto"/>
                <w:szCs w:val="21"/>
                <w:highlight w:val="none"/>
              </w:rPr>
            </w:pPr>
          </w:p>
        </w:tc>
      </w:tr>
      <w:tr w14:paraId="3B359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5EF3F6F3">
            <w:pPr>
              <w:spacing w:line="360" w:lineRule="auto"/>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12</w:t>
            </w:r>
          </w:p>
        </w:tc>
        <w:tc>
          <w:tcPr>
            <w:tcW w:w="6574" w:type="dxa"/>
            <w:noWrap w:val="0"/>
            <w:vAlign w:val="center"/>
          </w:tcPr>
          <w:p w14:paraId="1D9BECF3">
            <w:pPr>
              <w:pBdr>
                <w:top w:val="none" w:color="000000" w:sz="0" w:space="0"/>
                <w:left w:val="none" w:color="000000" w:sz="0" w:space="0"/>
                <w:bottom w:val="none" w:color="000000" w:sz="0" w:space="0"/>
                <w:right w:val="none" w:color="000000" w:sz="0" w:space="0"/>
              </w:pBdr>
              <w:spacing w:line="360" w:lineRule="auto"/>
              <w:rPr>
                <w:rFonts w:hint="eastAsia" w:ascii="宋体" w:hAnsi="宋体"/>
                <w:iCs/>
                <w:color w:val="auto"/>
                <w:szCs w:val="21"/>
                <w:highlight w:val="none"/>
              </w:rPr>
            </w:pPr>
            <w:r>
              <w:rPr>
                <w:rFonts w:hint="eastAsia" w:ascii="宋体" w:hAnsi="宋体"/>
                <w:iCs/>
                <w:color w:val="auto"/>
                <w:szCs w:val="21"/>
                <w:highlight w:val="none"/>
              </w:rPr>
              <w:t>注：采购人、采购代理机构、投标人实际控制人为同一人或者存在直接控股、管理关系的，不得参加同一合同项下的采购活动。采购代理机构及其分支机构不得在所代理的招标项目中投标或代理投标。</w:t>
            </w:r>
          </w:p>
        </w:tc>
        <w:tc>
          <w:tcPr>
            <w:tcW w:w="2158" w:type="dxa"/>
            <w:noWrap w:val="0"/>
            <w:vAlign w:val="center"/>
          </w:tcPr>
          <w:p w14:paraId="46AFACAF">
            <w:pPr>
              <w:spacing w:line="360" w:lineRule="auto"/>
              <w:rPr>
                <w:rFonts w:ascii="宋体" w:hAnsi="宋体"/>
                <w:color w:val="auto"/>
                <w:szCs w:val="21"/>
                <w:highlight w:val="none"/>
              </w:rPr>
            </w:pPr>
          </w:p>
        </w:tc>
      </w:tr>
      <w:tr w14:paraId="0E8B1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378" w:type="dxa"/>
            <w:gridSpan w:val="3"/>
            <w:noWrap w:val="0"/>
            <w:vAlign w:val="center"/>
          </w:tcPr>
          <w:p w14:paraId="2D38EBDE">
            <w:pPr>
              <w:spacing w:line="360" w:lineRule="auto"/>
              <w:rPr>
                <w:rFonts w:ascii="宋体" w:hAnsi="宋体"/>
                <w:color w:val="auto"/>
                <w:szCs w:val="21"/>
                <w:highlight w:val="none"/>
              </w:rPr>
            </w:pPr>
            <w:r>
              <w:rPr>
                <w:rFonts w:hint="eastAsia" w:ascii="宋体" w:hAnsi="宋体"/>
                <w:b/>
                <w:color w:val="auto"/>
                <w:szCs w:val="21"/>
                <w:highlight w:val="none"/>
              </w:rPr>
              <w:t>其他资格条件</w:t>
            </w:r>
          </w:p>
        </w:tc>
      </w:tr>
    </w:tbl>
    <w:p w14:paraId="1CF67A07">
      <w:p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1、营业执照副本、经营许可证副本（复印件）</w:t>
      </w:r>
    </w:p>
    <w:p w14:paraId="6765EAF5">
      <w:pPr>
        <w:jc w:val="center"/>
        <w:rPr>
          <w:rFonts w:hint="eastAsia" w:ascii="宋体" w:hAnsi="宋体"/>
          <w:b/>
          <w:bCs/>
          <w:color w:val="auto"/>
          <w:highlight w:val="none"/>
          <w:lang w:eastAsia="zh-CN"/>
        </w:rPr>
      </w:pPr>
      <w:r>
        <w:rPr>
          <w:rFonts w:hint="eastAsia" w:ascii="宋体" w:hAnsi="宋体"/>
          <w:b/>
          <w:bCs/>
          <w:color w:val="auto"/>
          <w:highlight w:val="none"/>
        </w:rPr>
        <w:br w:type="page" w:clear="all"/>
      </w:r>
      <w:r>
        <w:rPr>
          <w:rFonts w:hint="eastAsia" w:ascii="宋体" w:hAnsi="宋体"/>
          <w:b/>
          <w:bCs/>
          <w:color w:val="auto"/>
          <w:highlight w:val="none"/>
        </w:rPr>
        <w:t>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上一年度经审计的财务报告复印件）。</w:t>
      </w:r>
    </w:p>
    <w:p w14:paraId="18A1C14C">
      <w:pPr>
        <w:jc w:val="center"/>
        <w:rPr>
          <w:rFonts w:hint="eastAsia" w:ascii="宋体" w:hAnsi="宋体"/>
          <w:b/>
          <w:bCs/>
          <w:color w:val="auto"/>
          <w:highlight w:val="none"/>
        </w:rPr>
      </w:pPr>
    </w:p>
    <w:p w14:paraId="5393E589">
      <w:pPr>
        <w:numPr>
          <w:ilvl w:val="0"/>
          <w:numId w:val="2"/>
        </w:num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具有履行合同所必需的设备和专业技术能力（根据项目需求提供履行合同所必需的设备和专业技术能保修力的证明材料复印件或</w:t>
      </w:r>
      <w:r>
        <w:rPr>
          <w:rFonts w:hint="eastAsia" w:ascii="宋体" w:hAnsi="宋体"/>
          <w:b/>
          <w:bCs/>
          <w:color w:val="auto"/>
          <w:highlight w:val="none"/>
          <w:lang w:val="en-US" w:eastAsia="zh-CN"/>
        </w:rPr>
        <w:t>声明函</w:t>
      </w:r>
      <w:r>
        <w:rPr>
          <w:rFonts w:hint="eastAsia" w:ascii="宋体" w:hAnsi="宋体"/>
          <w:b/>
          <w:bCs/>
          <w:color w:val="auto"/>
          <w:highlight w:val="none"/>
        </w:rPr>
        <w:t>）。</w:t>
      </w:r>
    </w:p>
    <w:p w14:paraId="5D8EF004">
      <w:pPr>
        <w:numPr>
          <w:ilvl w:val="0"/>
          <w:numId w:val="0"/>
        </w:numPr>
        <w:jc w:val="both"/>
        <w:rPr>
          <w:rFonts w:hint="eastAsia" w:ascii="宋体" w:hAnsi="宋体"/>
          <w:b/>
          <w:bCs/>
          <w:color w:val="auto"/>
          <w:highlight w:val="none"/>
        </w:rPr>
      </w:pPr>
    </w:p>
    <w:p w14:paraId="07DCB557">
      <w:pPr>
        <w:jc w:val="center"/>
        <w:rPr>
          <w:rFonts w:hint="eastAsia" w:ascii="宋体" w:hAnsi="宋体"/>
          <w:b/>
          <w:bCs/>
          <w:color w:val="auto"/>
          <w:highlight w:val="none"/>
        </w:rPr>
      </w:pPr>
      <w:r>
        <w:rPr>
          <w:rFonts w:hint="eastAsia" w:ascii="宋体" w:hAnsi="宋体"/>
          <w:b/>
          <w:bCs/>
          <w:color w:val="auto"/>
          <w:highlight w:val="none"/>
        </w:rPr>
        <w:t>具备履行合同所必需的设备和专业技术能力的书面声明</w:t>
      </w:r>
    </w:p>
    <w:p w14:paraId="2AD2BE0C">
      <w:pPr>
        <w:spacing w:line="360" w:lineRule="auto"/>
        <w:ind w:firstLine="492"/>
        <w:rPr>
          <w:rFonts w:ascii="宋体" w:hAnsi="宋体"/>
          <w:bCs/>
          <w:color w:val="auto"/>
          <w:szCs w:val="21"/>
          <w:highlight w:val="none"/>
        </w:rPr>
      </w:pPr>
      <w:r>
        <w:rPr>
          <w:rFonts w:hint="eastAsia" w:ascii="宋体" w:hAnsi="宋体"/>
          <w:bCs/>
          <w:color w:val="auto"/>
          <w:szCs w:val="21"/>
          <w:highlight w:val="none"/>
        </w:rPr>
        <w:t>我单位郑重声明：我单位具备履行本项采购合同所必需的设备和专业技术能力，为履行本项采购合同我公司具备如下主要设备和主要专业技术能力：</w:t>
      </w:r>
    </w:p>
    <w:p w14:paraId="2EDE0AEF">
      <w:pPr>
        <w:spacing w:line="360" w:lineRule="auto"/>
        <w:ind w:firstLine="492"/>
        <w:rPr>
          <w:rFonts w:ascii="宋体" w:hAnsi="宋体"/>
          <w:bCs/>
          <w:color w:val="auto"/>
          <w:szCs w:val="21"/>
          <w:highlight w:val="none"/>
        </w:rPr>
      </w:pPr>
      <w:r>
        <w:rPr>
          <w:rFonts w:hint="eastAsia" w:ascii="宋体" w:hAnsi="宋体"/>
          <w:bCs/>
          <w:color w:val="auto"/>
          <w:szCs w:val="21"/>
          <w:highlight w:val="none"/>
        </w:rPr>
        <w:t>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198A8CCA">
      <w:pPr>
        <w:spacing w:line="360" w:lineRule="auto"/>
        <w:ind w:firstLine="492"/>
        <w:rPr>
          <w:rFonts w:ascii="宋体" w:hAnsi="宋体"/>
          <w:bCs/>
          <w:color w:val="auto"/>
          <w:szCs w:val="21"/>
          <w:highlight w:val="none"/>
        </w:rPr>
      </w:pPr>
      <w:r>
        <w:rPr>
          <w:rFonts w:hint="eastAsia" w:ascii="宋体" w:hAnsi="宋体"/>
          <w:bCs/>
          <w:color w:val="auto"/>
          <w:szCs w:val="21"/>
          <w:highlight w:val="none"/>
        </w:rPr>
        <w:t>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5F6C16C4">
      <w:p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4、有依法缴纳税收和社会保障资金的良好记录（提供开标时间前6个月内任意1个月依法缴纳税收和社会保障资金的相关材料复印件，依法享受免缴、缓缴的提供证明材料复印件）。</w:t>
      </w:r>
    </w:p>
    <w:p w14:paraId="6511758B">
      <w:pPr>
        <w:rPr>
          <w:rFonts w:ascii="宋体" w:hAnsi="宋体"/>
          <w:b/>
          <w:bCs/>
          <w:color w:val="auto"/>
          <w:highlight w:val="none"/>
        </w:rPr>
      </w:pPr>
      <w:r>
        <w:rPr>
          <w:rFonts w:hint="eastAsia" w:ascii="宋体" w:hAnsi="宋体"/>
          <w:b/>
          <w:bCs/>
          <w:color w:val="auto"/>
          <w:highlight w:val="none"/>
        </w:rPr>
        <w:br w:type="page" w:clear="all"/>
      </w:r>
    </w:p>
    <w:p w14:paraId="3BB965F3">
      <w:pPr>
        <w:spacing w:line="360" w:lineRule="auto"/>
        <w:ind w:firstLine="492"/>
        <w:rPr>
          <w:rFonts w:ascii="宋体" w:hAnsi="宋体"/>
          <w:bCs/>
          <w:color w:val="auto"/>
          <w:szCs w:val="21"/>
          <w:highlight w:val="none"/>
        </w:rPr>
      </w:pPr>
      <w:r>
        <w:rPr>
          <w:rFonts w:hint="eastAsia" w:ascii="宋体" w:hAnsi="宋体"/>
          <w:b/>
          <w:bCs/>
          <w:color w:val="auto"/>
          <w:highlight w:val="none"/>
        </w:rPr>
        <w:t>5、参加政府采购活动前3年内，在经营活动中没有重大违法记录（提供声明函原件（重大违法记录是指供应商因违法经营受到刑事处罚或责令停产停业、吊销许可证或者执照、较大数额罚款等行政处罚））。</w:t>
      </w:r>
    </w:p>
    <w:p w14:paraId="5A8AC7B2">
      <w:pPr>
        <w:spacing w:after="312" w:line="360" w:lineRule="auto"/>
        <w:jc w:val="center"/>
        <w:rPr>
          <w:rFonts w:ascii="宋体" w:hAnsi="宋体"/>
          <w:b/>
          <w:bCs/>
          <w:color w:val="auto"/>
          <w:highlight w:val="none"/>
        </w:rPr>
      </w:pPr>
      <w:r>
        <w:rPr>
          <w:rFonts w:hint="eastAsia" w:ascii="宋体" w:hAnsi="宋体"/>
          <w:b/>
          <w:bCs/>
          <w:color w:val="auto"/>
          <w:highlight w:val="none"/>
        </w:rPr>
        <w:t>声  明</w:t>
      </w:r>
    </w:p>
    <w:p w14:paraId="70057A60">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我公司郑重声明：参加本次政府采购活动前 3 年内，我公司在经营活动中没有因违法经营受到刑事处罚或者责令停产停业、吊销许可证或者执照、较大数额罚款等行政处罚。</w:t>
      </w:r>
    </w:p>
    <w:p w14:paraId="7F35961D">
      <w:pPr>
        <w:spacing w:line="360" w:lineRule="auto"/>
        <w:rPr>
          <w:rFonts w:ascii="宋体" w:hAnsi="宋体"/>
          <w:bCs/>
          <w:color w:val="auto"/>
          <w:highlight w:val="none"/>
        </w:rPr>
      </w:pPr>
      <w:r>
        <w:rPr>
          <w:rFonts w:hint="eastAsia" w:ascii="宋体" w:hAnsi="宋体"/>
          <w:bCs/>
          <w:color w:val="auto"/>
          <w:highlight w:val="none"/>
        </w:rPr>
        <w:t xml:space="preserve">                               投标人名称（公章）：</w:t>
      </w:r>
    </w:p>
    <w:p w14:paraId="37A5287F">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_______________________</w:t>
      </w:r>
    </w:p>
    <w:p w14:paraId="1DD52BCC">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749BB065">
      <w:pPr>
        <w:spacing w:line="360" w:lineRule="auto"/>
        <w:contextualSpacing/>
        <w:rPr>
          <w:rFonts w:ascii="宋体" w:hAnsi="宋体"/>
          <w:b/>
          <w:color w:val="auto"/>
          <w:sz w:val="36"/>
          <w:highlight w:val="none"/>
        </w:rPr>
      </w:pPr>
    </w:p>
    <w:p w14:paraId="00E28D6D">
      <w:pPr>
        <w:spacing w:line="360" w:lineRule="auto"/>
        <w:contextualSpacing/>
        <w:rPr>
          <w:rFonts w:ascii="宋体" w:hAnsi="宋体"/>
          <w:b/>
          <w:color w:val="auto"/>
          <w:sz w:val="36"/>
          <w:highlight w:val="none"/>
        </w:rPr>
      </w:pPr>
    </w:p>
    <w:p w14:paraId="3EA611E9">
      <w:pPr>
        <w:spacing w:line="360" w:lineRule="auto"/>
        <w:contextualSpacing/>
        <w:rPr>
          <w:rFonts w:ascii="宋体" w:hAnsi="宋体"/>
          <w:b/>
          <w:color w:val="auto"/>
          <w:sz w:val="36"/>
          <w:highlight w:val="none"/>
        </w:rPr>
      </w:pPr>
    </w:p>
    <w:p w14:paraId="076E9CB9">
      <w:pPr>
        <w:spacing w:line="360" w:lineRule="auto"/>
        <w:contextualSpacing/>
        <w:rPr>
          <w:rFonts w:ascii="宋体" w:hAnsi="宋体"/>
          <w:b/>
          <w:color w:val="auto"/>
          <w:sz w:val="36"/>
          <w:highlight w:val="none"/>
        </w:rPr>
      </w:pPr>
    </w:p>
    <w:p w14:paraId="0A9C6BA0">
      <w:pPr>
        <w:spacing w:line="360" w:lineRule="auto"/>
        <w:contextualSpacing/>
        <w:rPr>
          <w:rFonts w:ascii="宋体" w:hAnsi="宋体"/>
          <w:b/>
          <w:color w:val="auto"/>
          <w:sz w:val="36"/>
          <w:highlight w:val="none"/>
        </w:rPr>
      </w:pPr>
    </w:p>
    <w:p w14:paraId="23A1DCB1">
      <w:pPr>
        <w:spacing w:line="360" w:lineRule="auto"/>
        <w:contextualSpacing/>
        <w:rPr>
          <w:rFonts w:ascii="宋体" w:hAnsi="宋体"/>
          <w:b/>
          <w:color w:val="auto"/>
          <w:sz w:val="36"/>
          <w:highlight w:val="none"/>
        </w:rPr>
      </w:pPr>
    </w:p>
    <w:p w14:paraId="3A5BF020">
      <w:pPr>
        <w:spacing w:line="360" w:lineRule="auto"/>
        <w:contextualSpacing/>
        <w:rPr>
          <w:rFonts w:ascii="宋体" w:hAnsi="宋体"/>
          <w:b/>
          <w:color w:val="auto"/>
          <w:sz w:val="36"/>
          <w:highlight w:val="none"/>
        </w:rPr>
      </w:pPr>
    </w:p>
    <w:p w14:paraId="69BCB5A4">
      <w:pPr>
        <w:spacing w:line="360" w:lineRule="auto"/>
        <w:contextualSpacing/>
        <w:rPr>
          <w:rFonts w:ascii="宋体" w:hAnsi="宋体"/>
          <w:b/>
          <w:color w:val="auto"/>
          <w:sz w:val="36"/>
          <w:highlight w:val="none"/>
        </w:rPr>
      </w:pPr>
    </w:p>
    <w:p w14:paraId="29DC7FFF">
      <w:pPr>
        <w:spacing w:line="360" w:lineRule="auto"/>
        <w:contextualSpacing/>
        <w:rPr>
          <w:rFonts w:ascii="宋体" w:hAnsi="宋体"/>
          <w:b/>
          <w:color w:val="auto"/>
          <w:sz w:val="36"/>
          <w:highlight w:val="none"/>
        </w:rPr>
      </w:pPr>
    </w:p>
    <w:p w14:paraId="799BF593">
      <w:pPr>
        <w:spacing w:line="360" w:lineRule="auto"/>
        <w:contextualSpacing/>
        <w:rPr>
          <w:rFonts w:ascii="宋体" w:hAnsi="宋体"/>
          <w:b/>
          <w:color w:val="auto"/>
          <w:sz w:val="36"/>
          <w:highlight w:val="none"/>
        </w:rPr>
      </w:pPr>
    </w:p>
    <w:p w14:paraId="37CAD759">
      <w:pPr>
        <w:spacing w:line="360" w:lineRule="auto"/>
        <w:contextualSpacing/>
        <w:rPr>
          <w:rFonts w:ascii="宋体" w:hAnsi="宋体"/>
          <w:b/>
          <w:color w:val="auto"/>
          <w:sz w:val="36"/>
          <w:highlight w:val="none"/>
        </w:rPr>
      </w:pPr>
    </w:p>
    <w:p w14:paraId="264B222E">
      <w:pPr>
        <w:spacing w:line="360" w:lineRule="auto"/>
        <w:contextualSpacing/>
        <w:rPr>
          <w:rFonts w:ascii="宋体" w:hAnsi="宋体"/>
          <w:b/>
          <w:color w:val="auto"/>
          <w:sz w:val="36"/>
          <w:highlight w:val="none"/>
        </w:rPr>
      </w:pPr>
    </w:p>
    <w:p w14:paraId="330FE828">
      <w:pPr>
        <w:spacing w:line="360" w:lineRule="auto"/>
        <w:contextualSpacing/>
        <w:rPr>
          <w:rFonts w:ascii="宋体" w:hAnsi="宋体"/>
          <w:b/>
          <w:color w:val="auto"/>
          <w:sz w:val="36"/>
          <w:highlight w:val="none"/>
        </w:rPr>
      </w:pPr>
    </w:p>
    <w:p w14:paraId="1682F8AE">
      <w:pPr>
        <w:spacing w:line="360" w:lineRule="auto"/>
        <w:jc w:val="both"/>
        <w:rPr>
          <w:rFonts w:ascii="宋体" w:hAnsi="宋体"/>
          <w:b/>
          <w:bCs/>
          <w:color w:val="auto"/>
          <w:highlight w:val="none"/>
        </w:rPr>
      </w:pPr>
    </w:p>
    <w:p w14:paraId="24253210">
      <w:pPr>
        <w:rPr>
          <w:rFonts w:hint="eastAsia" w:ascii="宋体" w:hAnsi="宋体"/>
          <w:b/>
          <w:bCs/>
          <w:color w:val="auto"/>
          <w:highlight w:val="none"/>
        </w:rPr>
      </w:pPr>
      <w:r>
        <w:rPr>
          <w:rFonts w:hint="eastAsia" w:ascii="宋体" w:hAnsi="宋体"/>
          <w:b/>
          <w:bCs/>
          <w:color w:val="auto"/>
          <w:highlight w:val="none"/>
        </w:rPr>
        <w:br w:type="page"/>
      </w:r>
    </w:p>
    <w:p w14:paraId="4A902EE9">
      <w:pPr>
        <w:spacing w:line="360" w:lineRule="auto"/>
        <w:jc w:val="center"/>
        <w:rPr>
          <w:rFonts w:hint="eastAsia" w:ascii="宋体" w:hAnsi="宋体" w:eastAsia="宋体"/>
          <w:b/>
          <w:color w:val="auto"/>
          <w:szCs w:val="21"/>
          <w:highlight w:val="none"/>
          <w:lang w:val="en-US" w:eastAsia="zh-CN"/>
        </w:rPr>
      </w:pPr>
      <w:r>
        <w:rPr>
          <w:rFonts w:hint="eastAsia" w:ascii="宋体" w:hAnsi="宋体"/>
          <w:b/>
          <w:color w:val="auto"/>
          <w:szCs w:val="21"/>
          <w:highlight w:val="none"/>
        </w:rPr>
        <w:t>投标人信用承诺</w:t>
      </w:r>
      <w:r>
        <w:rPr>
          <w:rFonts w:hint="eastAsia" w:ascii="宋体" w:hAnsi="宋体"/>
          <w:b/>
          <w:color w:val="auto"/>
          <w:szCs w:val="21"/>
          <w:highlight w:val="none"/>
          <w:lang w:val="en-US" w:eastAsia="zh-CN"/>
        </w:rPr>
        <w:t>函</w:t>
      </w:r>
    </w:p>
    <w:p w14:paraId="69AB274D">
      <w:pPr>
        <w:spacing w:line="360" w:lineRule="auto"/>
        <w:rPr>
          <w:rFonts w:ascii="方正仿宋_GBK"/>
          <w:color w:val="auto"/>
          <w:szCs w:val="32"/>
          <w:highlight w:val="none"/>
        </w:rPr>
      </w:pPr>
    </w:p>
    <w:p w14:paraId="1D71C0CC">
      <w:pPr>
        <w:spacing w:line="360" w:lineRule="auto"/>
        <w:rPr>
          <w:rFonts w:ascii="宋体" w:hAnsi="宋体"/>
          <w:color w:val="auto"/>
          <w:szCs w:val="21"/>
          <w:highlight w:val="none"/>
        </w:rPr>
      </w:pPr>
      <w:r>
        <w:rPr>
          <w:rFonts w:hint="eastAsia" w:ascii="宋体" w:hAnsi="宋体"/>
          <w:color w:val="auto"/>
          <w:szCs w:val="21"/>
          <w:highlight w:val="none"/>
        </w:rPr>
        <w:t>承诺主体名称：</w:t>
      </w:r>
    </w:p>
    <w:p w14:paraId="2ED83CE0">
      <w:pPr>
        <w:spacing w:line="360" w:lineRule="auto"/>
        <w:rPr>
          <w:rFonts w:ascii="宋体" w:hAnsi="宋体"/>
          <w:color w:val="auto"/>
          <w:szCs w:val="21"/>
          <w:highlight w:val="none"/>
        </w:rPr>
      </w:pPr>
      <w:r>
        <w:rPr>
          <w:rFonts w:hint="eastAsia" w:ascii="宋体" w:hAnsi="宋体"/>
          <w:color w:val="auto"/>
          <w:szCs w:val="21"/>
          <w:highlight w:val="none"/>
        </w:rPr>
        <w:t>统一社会信用代码：</w:t>
      </w:r>
    </w:p>
    <w:p w14:paraId="5F01E906">
      <w:pPr>
        <w:spacing w:line="360" w:lineRule="auto"/>
        <w:rPr>
          <w:rFonts w:ascii="宋体" w:hAnsi="宋体"/>
          <w:color w:val="auto"/>
          <w:szCs w:val="21"/>
          <w:highlight w:val="none"/>
        </w:rPr>
      </w:pPr>
    </w:p>
    <w:p w14:paraId="0672318A">
      <w:pPr>
        <w:spacing w:line="360" w:lineRule="auto"/>
        <w:ind w:firstLine="420"/>
        <w:rPr>
          <w:rFonts w:ascii="宋体" w:hAnsi="宋体"/>
          <w:color w:val="auto"/>
          <w:szCs w:val="21"/>
          <w:highlight w:val="none"/>
        </w:rPr>
      </w:pPr>
      <w:r>
        <w:rPr>
          <w:rFonts w:hint="eastAsia" w:ascii="宋体" w:hAnsi="宋体"/>
          <w:color w:val="auto"/>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7D08E1D9">
      <w:pPr>
        <w:spacing w:line="360" w:lineRule="auto"/>
        <w:ind w:firstLine="420"/>
        <w:rPr>
          <w:rFonts w:ascii="宋体" w:hAnsi="宋体"/>
          <w:color w:val="auto"/>
          <w:szCs w:val="21"/>
          <w:highlight w:val="none"/>
        </w:rPr>
      </w:pPr>
      <w:r>
        <w:rPr>
          <w:rFonts w:hint="eastAsia" w:ascii="宋体" w:hAnsi="宋体"/>
          <w:color w:val="auto"/>
          <w:szCs w:val="21"/>
          <w:highlight w:val="none"/>
        </w:rPr>
        <w:t>一、对提供给注册登记部门、行业管理部门、司法部门、行业组织以及在政府采购活动中提交的所有资料的合法性、真实性、准确性和有效性负责；</w:t>
      </w:r>
    </w:p>
    <w:p w14:paraId="3E36F0B0">
      <w:pPr>
        <w:spacing w:line="360" w:lineRule="auto"/>
        <w:ind w:firstLine="420"/>
        <w:rPr>
          <w:rFonts w:ascii="宋体" w:hAnsi="宋体"/>
          <w:color w:val="auto"/>
          <w:szCs w:val="21"/>
          <w:highlight w:val="none"/>
        </w:rPr>
      </w:pPr>
      <w:r>
        <w:rPr>
          <w:rFonts w:hint="eastAsia" w:ascii="宋体" w:hAnsi="宋体"/>
          <w:color w:val="auto"/>
          <w:szCs w:val="21"/>
          <w:highlight w:val="none"/>
        </w:rPr>
        <w:t>二、严格按照国家法律、法规和规章开展采购活动，全面履行应尽的责任和义务，全面做到履约守信，具备《中华人民共和国政府采购法》第二十二条第一款规定的条件;</w:t>
      </w:r>
    </w:p>
    <w:p w14:paraId="7131BB78">
      <w:pPr>
        <w:spacing w:line="360" w:lineRule="auto"/>
        <w:ind w:firstLine="420"/>
        <w:rPr>
          <w:rFonts w:ascii="宋体" w:hAnsi="宋体"/>
          <w:color w:val="auto"/>
          <w:szCs w:val="21"/>
          <w:highlight w:val="none"/>
        </w:rPr>
      </w:pPr>
      <w:r>
        <w:rPr>
          <w:rFonts w:hint="eastAsia" w:ascii="宋体" w:hAnsi="宋体"/>
          <w:color w:val="auto"/>
          <w:szCs w:val="21"/>
          <w:highlight w:val="none"/>
        </w:rPr>
        <w:t>三、严格依法开展生产经营活动，主动接受行业监管，自愿接受依法开展的日常检查；违法失信经营后将自愿接受约束和惩戒，并依法承担相应责任；</w:t>
      </w:r>
    </w:p>
    <w:p w14:paraId="0763E8C5">
      <w:pPr>
        <w:spacing w:line="360" w:lineRule="auto"/>
        <w:ind w:firstLine="420"/>
        <w:rPr>
          <w:rFonts w:ascii="宋体" w:hAnsi="宋体"/>
          <w:color w:val="auto"/>
          <w:szCs w:val="21"/>
          <w:highlight w:val="none"/>
        </w:rPr>
      </w:pPr>
      <w:r>
        <w:rPr>
          <w:rFonts w:hint="eastAsia" w:ascii="宋体" w:hAnsi="宋体"/>
          <w:color w:val="auto"/>
          <w:szCs w:val="21"/>
          <w:highlight w:val="none"/>
        </w:rPr>
        <w:t>四、自觉接受行政管理部门、行业组织、社会公众、新闻舆论的监督；</w:t>
      </w:r>
    </w:p>
    <w:p w14:paraId="2907494E">
      <w:pPr>
        <w:spacing w:line="360" w:lineRule="auto"/>
        <w:ind w:firstLine="420"/>
        <w:rPr>
          <w:rFonts w:ascii="宋体" w:hAnsi="宋体"/>
          <w:color w:val="auto"/>
          <w:szCs w:val="21"/>
          <w:highlight w:val="none"/>
        </w:rPr>
      </w:pPr>
      <w:r>
        <w:rPr>
          <w:rFonts w:hint="eastAsia" w:ascii="宋体" w:hAnsi="宋体"/>
          <w:color w:val="auto"/>
          <w:szCs w:val="21"/>
          <w:highlight w:val="none"/>
        </w:rPr>
        <w:t>五、自觉做到自我约束、自我管理，不制假售假、商标侵权、虚假宣传、违约毁约、恶意逃债、偷税漏税、垄断和不正当竞争，维护经营者、消费者的合法权益；</w:t>
      </w:r>
    </w:p>
    <w:p w14:paraId="01887269">
      <w:pPr>
        <w:spacing w:line="360" w:lineRule="auto"/>
        <w:ind w:firstLine="420"/>
        <w:rPr>
          <w:rFonts w:ascii="宋体" w:hAnsi="宋体"/>
          <w:color w:val="auto"/>
          <w:szCs w:val="21"/>
          <w:highlight w:val="none"/>
        </w:rPr>
      </w:pPr>
      <w:r>
        <w:rPr>
          <w:rFonts w:hint="eastAsia" w:ascii="宋体" w:hAnsi="宋体"/>
          <w:color w:val="auto"/>
          <w:szCs w:val="21"/>
          <w:highlight w:val="none"/>
        </w:rPr>
        <w:t>六、提出政府采购质疑和投诉坚持依法依规、诚实信用原则，在全国范围12个月内没有三次以上查无实据的政府采购投诉；</w:t>
      </w:r>
    </w:p>
    <w:p w14:paraId="0F0A7DAC">
      <w:pPr>
        <w:spacing w:line="360" w:lineRule="auto"/>
        <w:ind w:firstLine="420"/>
        <w:rPr>
          <w:rFonts w:ascii="宋体" w:hAnsi="宋体"/>
          <w:color w:val="auto"/>
          <w:szCs w:val="21"/>
          <w:highlight w:val="none"/>
        </w:rPr>
      </w:pPr>
      <w:r>
        <w:rPr>
          <w:rFonts w:hint="eastAsia" w:ascii="宋体" w:hAnsi="宋体"/>
          <w:color w:val="auto"/>
          <w:szCs w:val="21"/>
          <w:highlight w:val="none"/>
        </w:rPr>
        <w:t>七、严格遵守信用信息公示相关规定，向社会公示信用信息；</w:t>
      </w:r>
    </w:p>
    <w:p w14:paraId="42B7029C">
      <w:pPr>
        <w:spacing w:line="360" w:lineRule="auto"/>
        <w:ind w:firstLine="420"/>
        <w:rPr>
          <w:rFonts w:ascii="宋体" w:hAnsi="宋体"/>
          <w:color w:val="auto"/>
          <w:szCs w:val="21"/>
          <w:highlight w:val="none"/>
        </w:rPr>
      </w:pPr>
      <w:r>
        <w:rPr>
          <w:rFonts w:hint="eastAsia" w:ascii="宋体" w:hAnsi="宋体"/>
          <w:color w:val="auto"/>
          <w:szCs w:val="21"/>
          <w:highlight w:val="none"/>
        </w:rPr>
        <w:t>八、在“信用中国”和“中国政府采购网”网站中无违法违规、较重或严重失信记录；</w:t>
      </w:r>
    </w:p>
    <w:p w14:paraId="39A315C7">
      <w:pPr>
        <w:spacing w:line="360" w:lineRule="auto"/>
        <w:ind w:firstLine="420"/>
        <w:rPr>
          <w:rFonts w:ascii="宋体" w:hAnsi="宋体"/>
          <w:color w:val="auto"/>
          <w:szCs w:val="21"/>
          <w:highlight w:val="none"/>
        </w:rPr>
      </w:pPr>
      <w:r>
        <w:rPr>
          <w:rFonts w:hint="eastAsia" w:ascii="宋体" w:hAnsi="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4ABC1E28">
      <w:pPr>
        <w:spacing w:line="360" w:lineRule="auto"/>
        <w:ind w:firstLine="420"/>
        <w:rPr>
          <w:rFonts w:ascii="宋体" w:hAnsi="宋体"/>
          <w:color w:val="auto"/>
          <w:szCs w:val="21"/>
          <w:highlight w:val="none"/>
        </w:rPr>
      </w:pPr>
      <w:r>
        <w:rPr>
          <w:rFonts w:hint="eastAsia" w:ascii="宋体" w:hAnsi="宋体"/>
          <w:color w:val="auto"/>
          <w:szCs w:val="21"/>
          <w:highlight w:val="none"/>
        </w:rPr>
        <w:t>十、本承诺</w:t>
      </w:r>
      <w:r>
        <w:rPr>
          <w:rFonts w:hint="eastAsia" w:ascii="宋体" w:hAnsi="宋体"/>
          <w:color w:val="auto"/>
          <w:szCs w:val="21"/>
          <w:highlight w:val="none"/>
          <w:lang w:val="en-US" w:eastAsia="zh-CN"/>
        </w:rPr>
        <w:t>函</w:t>
      </w:r>
      <w:r>
        <w:rPr>
          <w:rFonts w:hint="eastAsia" w:ascii="宋体" w:hAnsi="宋体"/>
          <w:color w:val="auto"/>
          <w:szCs w:val="21"/>
          <w:highlight w:val="none"/>
        </w:rPr>
        <w:t>自签订之日起生效。</w:t>
      </w:r>
    </w:p>
    <w:p w14:paraId="2882C85A">
      <w:pPr>
        <w:spacing w:line="360" w:lineRule="auto"/>
        <w:ind w:firstLine="420"/>
        <w:rPr>
          <w:rFonts w:ascii="宋体" w:hAnsi="宋体"/>
          <w:color w:val="auto"/>
          <w:szCs w:val="21"/>
          <w:highlight w:val="none"/>
        </w:rPr>
      </w:pPr>
      <w:r>
        <w:rPr>
          <w:rFonts w:hint="eastAsia" w:ascii="宋体" w:hAnsi="宋体"/>
          <w:color w:val="auto"/>
          <w:szCs w:val="21"/>
          <w:highlight w:val="none"/>
        </w:rPr>
        <w:t> （注：法定代表人或负责人、主体名称发生变更的应当重新做出承诺。）</w:t>
      </w:r>
    </w:p>
    <w:p w14:paraId="2B92798A">
      <w:pPr>
        <w:spacing w:line="360" w:lineRule="auto"/>
        <w:rPr>
          <w:rFonts w:ascii="宋体" w:hAnsi="宋体"/>
          <w:color w:val="auto"/>
          <w:szCs w:val="21"/>
          <w:highlight w:val="none"/>
        </w:rPr>
      </w:pPr>
    </w:p>
    <w:p w14:paraId="0490ED20">
      <w:pPr>
        <w:spacing w:line="360" w:lineRule="auto"/>
        <w:jc w:val="center"/>
        <w:rPr>
          <w:rFonts w:ascii="宋体" w:hAnsi="宋体"/>
          <w:color w:val="auto"/>
          <w:szCs w:val="21"/>
          <w:highlight w:val="none"/>
        </w:rPr>
      </w:pPr>
      <w:r>
        <w:rPr>
          <w:rFonts w:hint="eastAsia" w:ascii="宋体" w:hAnsi="宋体"/>
          <w:color w:val="auto"/>
          <w:szCs w:val="21"/>
          <w:highlight w:val="none"/>
        </w:rPr>
        <w:t xml:space="preserve">　　　　　　　　　　        承诺单位（签章）：           </w:t>
      </w:r>
    </w:p>
    <w:p w14:paraId="353CF0C3">
      <w:pPr>
        <w:spacing w:line="360" w:lineRule="auto"/>
        <w:jc w:val="center"/>
        <w:rPr>
          <w:rFonts w:ascii="宋体" w:hAnsi="宋体"/>
          <w:color w:val="auto"/>
          <w:szCs w:val="21"/>
          <w:highlight w:val="none"/>
        </w:rPr>
      </w:pPr>
      <w:r>
        <w:rPr>
          <w:rFonts w:hint="eastAsia" w:ascii="宋体" w:hAnsi="宋体"/>
          <w:color w:val="auto"/>
          <w:szCs w:val="21"/>
          <w:highlight w:val="none"/>
        </w:rPr>
        <w:t>　　　　　　　　　   　  法定代表人（负责人）：</w:t>
      </w:r>
    </w:p>
    <w:p w14:paraId="4B277EC2">
      <w:pPr>
        <w:spacing w:line="360" w:lineRule="auto"/>
        <w:jc w:val="center"/>
        <w:rPr>
          <w:rFonts w:ascii="宋体" w:hAnsi="宋体"/>
          <w:color w:val="auto"/>
          <w:szCs w:val="21"/>
          <w:highlight w:val="none"/>
        </w:rPr>
      </w:pPr>
      <w:r>
        <w:rPr>
          <w:rFonts w:hint="eastAsia" w:ascii="宋体" w:hAnsi="宋体"/>
          <w:color w:val="auto"/>
          <w:szCs w:val="21"/>
          <w:highlight w:val="none"/>
        </w:rPr>
        <w:t>　　　　　　　　　      　年    月    日</w:t>
      </w:r>
    </w:p>
    <w:p w14:paraId="66E23F08">
      <w:pPr>
        <w:spacing w:line="360" w:lineRule="auto"/>
        <w:jc w:val="center"/>
        <w:rPr>
          <w:rFonts w:hint="eastAsia" w:ascii="宋体" w:hAnsi="宋体"/>
          <w:b/>
          <w:bCs/>
          <w:color w:val="auto"/>
          <w:highlight w:val="none"/>
        </w:rPr>
      </w:pPr>
    </w:p>
    <w:p w14:paraId="6BF2628C">
      <w:pPr>
        <w:rPr>
          <w:rFonts w:hint="eastAsia" w:ascii="宋体" w:hAnsi="宋体"/>
          <w:b/>
          <w:bCs/>
          <w:color w:val="auto"/>
          <w:highlight w:val="none"/>
        </w:rPr>
      </w:pPr>
      <w:r>
        <w:rPr>
          <w:rFonts w:hint="eastAsia" w:ascii="宋体" w:hAnsi="宋体"/>
          <w:b/>
          <w:bCs/>
          <w:color w:val="auto"/>
          <w:highlight w:val="none"/>
        </w:rPr>
        <w:br w:type="page" w:clear="all"/>
      </w:r>
    </w:p>
    <w:p w14:paraId="79E4936C">
      <w:pPr>
        <w:spacing w:line="360" w:lineRule="auto"/>
        <w:jc w:val="center"/>
        <w:rPr>
          <w:rFonts w:hint="eastAsia" w:ascii="宋体" w:hAnsi="宋体"/>
          <w:b/>
          <w:bCs/>
          <w:color w:val="auto"/>
          <w:highlight w:val="none"/>
        </w:rPr>
      </w:pPr>
      <w:r>
        <w:rPr>
          <w:rFonts w:hint="eastAsia" w:ascii="宋体" w:hAnsi="宋体"/>
          <w:b/>
          <w:bCs/>
          <w:color w:val="auto"/>
          <w:highlight w:val="none"/>
        </w:rPr>
        <w:t>投标函格式</w:t>
      </w:r>
    </w:p>
    <w:p w14:paraId="2F7146DB">
      <w:pPr>
        <w:pStyle w:val="216"/>
        <w:rPr>
          <w:rFonts w:hint="eastAsia" w:hAnsi="宋体"/>
          <w:b/>
          <w:bCs/>
          <w:color w:val="auto"/>
          <w:highlight w:val="none"/>
        </w:rPr>
      </w:pPr>
    </w:p>
    <w:p w14:paraId="0D67C191">
      <w:pPr>
        <w:pStyle w:val="217"/>
        <w:rPr>
          <w:color w:val="auto"/>
          <w:highlight w:val="none"/>
          <w:lang w:eastAsia="zh-CN"/>
        </w:rPr>
      </w:pPr>
    </w:p>
    <w:p w14:paraId="04FA8243">
      <w:pPr>
        <w:pStyle w:val="223"/>
        <w:spacing w:before="0" w:after="0"/>
        <w:ind w:firstLine="0"/>
        <w:rPr>
          <w:rFonts w:ascii="宋体" w:hAnsi="宋体"/>
          <w:color w:val="auto"/>
          <w:sz w:val="21"/>
          <w:szCs w:val="21"/>
          <w:highlight w:val="none"/>
        </w:rPr>
      </w:pPr>
      <w:r>
        <w:rPr>
          <w:rFonts w:hint="eastAsia" w:ascii="宋体" w:hAnsi="宋体"/>
          <w:color w:val="auto"/>
          <w:sz w:val="21"/>
          <w:szCs w:val="21"/>
          <w:highlight w:val="none"/>
        </w:rPr>
        <w:t>致</w:t>
      </w:r>
      <w:r>
        <w:rPr>
          <w:rFonts w:hint="eastAsia" w:ascii="宋体" w:hAnsi="宋体"/>
          <w:color w:val="auto"/>
          <w:sz w:val="21"/>
          <w:szCs w:val="21"/>
          <w:highlight w:val="none"/>
          <w:lang w:val="en-US" w:eastAsia="zh-CN"/>
        </w:rPr>
        <w:t>采购人</w:t>
      </w:r>
      <w:r>
        <w:rPr>
          <w:rFonts w:hint="eastAsia" w:ascii="宋体" w:hAnsi="宋体"/>
          <w:color w:val="auto"/>
          <w:sz w:val="21"/>
          <w:szCs w:val="21"/>
          <w:highlight w:val="none"/>
        </w:rPr>
        <w:t>：</w:t>
      </w:r>
    </w:p>
    <w:p w14:paraId="2CB63C8F">
      <w:pPr>
        <w:pStyle w:val="223"/>
        <w:spacing w:before="0" w:after="0"/>
        <w:ind w:firstLine="420"/>
        <w:rPr>
          <w:rFonts w:ascii="宋体" w:hAnsi="宋体"/>
          <w:color w:val="auto"/>
          <w:sz w:val="21"/>
          <w:szCs w:val="21"/>
          <w:highlight w:val="none"/>
        </w:rPr>
      </w:pPr>
      <w:r>
        <w:rPr>
          <w:rFonts w:hint="eastAsia" w:ascii="宋体" w:hAnsi="宋体"/>
          <w:color w:val="auto"/>
          <w:sz w:val="21"/>
          <w:szCs w:val="21"/>
          <w:highlight w:val="none"/>
        </w:rPr>
        <w:t>根据贵方的（）号采购文件，正式授权下述签字人_________________(姓名)代表我方______________（投标人的名称），全权处理本次项目投标的有关事宜。</w:t>
      </w:r>
    </w:p>
    <w:p w14:paraId="7399E018">
      <w:pPr>
        <w:pStyle w:val="223"/>
        <w:spacing w:before="0" w:after="0"/>
        <w:ind w:firstLine="420"/>
        <w:rPr>
          <w:rFonts w:ascii="宋体" w:hAnsi="宋体"/>
          <w:color w:val="auto"/>
          <w:sz w:val="21"/>
          <w:szCs w:val="21"/>
          <w:highlight w:val="none"/>
        </w:rPr>
      </w:pPr>
      <w:r>
        <w:rPr>
          <w:rFonts w:hint="eastAsia" w:ascii="宋体" w:hAnsi="宋体"/>
          <w:color w:val="auto"/>
          <w:sz w:val="21"/>
          <w:szCs w:val="21"/>
          <w:highlight w:val="none"/>
        </w:rPr>
        <w:t>据此函，__________签字人（姓名）兹宣布同意如下：</w:t>
      </w:r>
    </w:p>
    <w:p w14:paraId="766C6772">
      <w:pPr>
        <w:pStyle w:val="223"/>
        <w:spacing w:before="0" w:after="0"/>
        <w:ind w:firstLine="420"/>
        <w:rPr>
          <w:rFonts w:ascii="宋体" w:hAnsi="宋体"/>
          <w:color w:val="auto"/>
          <w:sz w:val="21"/>
          <w:szCs w:val="21"/>
          <w:highlight w:val="none"/>
        </w:rPr>
      </w:pPr>
      <w:r>
        <w:rPr>
          <w:rFonts w:hint="eastAsia" w:ascii="宋体" w:hAnsi="宋体"/>
          <w:color w:val="auto"/>
          <w:sz w:val="21"/>
          <w:szCs w:val="21"/>
          <w:highlight w:val="none"/>
        </w:rPr>
        <w:t>1.按采购文件规定的各项要求，向买方提供所需货物与服务。</w:t>
      </w:r>
    </w:p>
    <w:p w14:paraId="15BFEC3B">
      <w:pPr>
        <w:pStyle w:val="223"/>
        <w:spacing w:before="0" w:after="0"/>
        <w:ind w:firstLine="420"/>
        <w:rPr>
          <w:rFonts w:ascii="宋体" w:hAnsi="宋体"/>
          <w:color w:val="auto"/>
          <w:sz w:val="21"/>
          <w:szCs w:val="21"/>
          <w:highlight w:val="none"/>
        </w:rPr>
      </w:pPr>
      <w:r>
        <w:rPr>
          <w:rFonts w:hint="eastAsia" w:ascii="宋体" w:hAnsi="宋体"/>
          <w:color w:val="auto"/>
          <w:sz w:val="21"/>
          <w:szCs w:val="21"/>
          <w:highlight w:val="none"/>
        </w:rPr>
        <w:t>2.我们完全理解贵方不一定将合同授予最低报价的投标人。</w:t>
      </w:r>
    </w:p>
    <w:p w14:paraId="255B0C36">
      <w:pPr>
        <w:pStyle w:val="223"/>
        <w:spacing w:before="0" w:after="0"/>
        <w:ind w:firstLine="420"/>
        <w:rPr>
          <w:rFonts w:ascii="宋体" w:hAnsi="宋体"/>
          <w:color w:val="auto"/>
          <w:sz w:val="21"/>
          <w:szCs w:val="21"/>
          <w:highlight w:val="none"/>
        </w:rPr>
      </w:pPr>
      <w:r>
        <w:rPr>
          <w:rFonts w:hint="eastAsia" w:ascii="宋体" w:hAnsi="宋体"/>
          <w:color w:val="auto"/>
          <w:sz w:val="21"/>
          <w:szCs w:val="21"/>
          <w:highlight w:val="none"/>
        </w:rPr>
        <w:t>3.我们已详细审核全部采购文件及其有效补充文件，我们知道必须放弃提出含糊不清或误解问题的权利。</w:t>
      </w:r>
    </w:p>
    <w:p w14:paraId="7EDC1AC3">
      <w:pPr>
        <w:pStyle w:val="223"/>
        <w:spacing w:before="0" w:after="0"/>
        <w:rPr>
          <w:rFonts w:ascii="宋体" w:hAnsi="宋体"/>
          <w:color w:val="auto"/>
          <w:sz w:val="21"/>
          <w:szCs w:val="21"/>
          <w:highlight w:val="none"/>
        </w:rPr>
      </w:pPr>
      <w:r>
        <w:rPr>
          <w:rFonts w:hint="eastAsia" w:ascii="宋体" w:hAnsi="宋体"/>
          <w:color w:val="auto"/>
          <w:sz w:val="21"/>
          <w:szCs w:val="21"/>
          <w:highlight w:val="none"/>
        </w:rPr>
        <w:t>4.我们同意从规定的开标日期起遵循本投标文件，并在规定的投标有效期期满之前均具有约束力。</w:t>
      </w:r>
    </w:p>
    <w:p w14:paraId="48A752C0">
      <w:pPr>
        <w:pStyle w:val="223"/>
        <w:spacing w:before="0" w:after="0"/>
        <w:rPr>
          <w:rFonts w:ascii="宋体" w:hAnsi="宋体"/>
          <w:color w:val="auto"/>
          <w:sz w:val="21"/>
          <w:szCs w:val="21"/>
          <w:highlight w:val="none"/>
        </w:rPr>
      </w:pPr>
      <w:r>
        <w:rPr>
          <w:rFonts w:hint="eastAsia" w:ascii="宋体" w:hAnsi="宋体"/>
          <w:color w:val="auto"/>
          <w:sz w:val="21"/>
          <w:szCs w:val="21"/>
          <w:highlight w:val="none"/>
        </w:rPr>
        <w:t>5.同意向贵方提供贵方可能另外要求的与投标有关的任何证据或资料，并保证我方已提供和将要提供的文件是真实的、准确的。</w:t>
      </w:r>
    </w:p>
    <w:p w14:paraId="4A995CCA">
      <w:pPr>
        <w:pStyle w:val="223"/>
        <w:spacing w:before="0" w:after="0"/>
        <w:rPr>
          <w:rFonts w:ascii="宋体" w:hAnsi="宋体"/>
          <w:color w:val="auto"/>
          <w:sz w:val="21"/>
          <w:szCs w:val="21"/>
          <w:highlight w:val="none"/>
        </w:rPr>
      </w:pPr>
      <w:r>
        <w:rPr>
          <w:rFonts w:hint="eastAsia" w:ascii="宋体" w:hAnsi="宋体"/>
          <w:color w:val="auto"/>
          <w:sz w:val="21"/>
          <w:szCs w:val="21"/>
          <w:highlight w:val="none"/>
        </w:rPr>
        <w:t>6.一旦我方中标,我方将根据采购文件的规定，严格履行合同的责任和义务,并保证在采购文件规定的时间完成项目，交付买方验收、使用。</w:t>
      </w:r>
    </w:p>
    <w:p w14:paraId="3FF4AC13">
      <w:pPr>
        <w:pStyle w:val="223"/>
        <w:spacing w:before="0" w:after="0"/>
        <w:ind w:left="425" w:firstLine="105"/>
        <w:rPr>
          <w:rFonts w:ascii="宋体" w:hAnsi="宋体"/>
          <w:color w:val="auto"/>
          <w:sz w:val="21"/>
          <w:szCs w:val="21"/>
          <w:highlight w:val="none"/>
        </w:rPr>
      </w:pPr>
      <w:r>
        <w:rPr>
          <w:rFonts w:hint="eastAsia" w:ascii="宋体" w:hAnsi="宋体"/>
          <w:color w:val="auto"/>
          <w:sz w:val="21"/>
          <w:szCs w:val="21"/>
          <w:highlight w:val="none"/>
        </w:rPr>
        <w:t>7.与本投标有关的正式通讯地址为：</w:t>
      </w:r>
    </w:p>
    <w:p w14:paraId="6D5F848B">
      <w:pPr>
        <w:pStyle w:val="223"/>
        <w:spacing w:before="0" w:after="0"/>
        <w:ind w:firstLine="479"/>
        <w:rPr>
          <w:rFonts w:ascii="宋体" w:hAnsi="宋体"/>
          <w:color w:val="auto"/>
          <w:sz w:val="21"/>
          <w:szCs w:val="21"/>
          <w:highlight w:val="none"/>
        </w:rPr>
      </w:pPr>
      <w:r>
        <w:rPr>
          <w:rFonts w:hint="eastAsia" w:ascii="宋体" w:hAnsi="宋体"/>
          <w:color w:val="auto"/>
          <w:sz w:val="21"/>
          <w:szCs w:val="21"/>
          <w:highlight w:val="none"/>
        </w:rPr>
        <w:t>地 址：</w:t>
      </w:r>
    </w:p>
    <w:p w14:paraId="0959972C">
      <w:pPr>
        <w:pStyle w:val="223"/>
        <w:spacing w:before="0" w:after="0"/>
        <w:ind w:firstLine="479"/>
        <w:rPr>
          <w:rFonts w:ascii="宋体" w:hAnsi="宋体"/>
          <w:color w:val="auto"/>
          <w:sz w:val="21"/>
          <w:szCs w:val="21"/>
          <w:highlight w:val="none"/>
        </w:rPr>
      </w:pPr>
      <w:r>
        <w:rPr>
          <w:rFonts w:hint="eastAsia" w:ascii="宋体" w:hAnsi="宋体"/>
          <w:color w:val="auto"/>
          <w:sz w:val="21"/>
          <w:szCs w:val="21"/>
          <w:highlight w:val="none"/>
        </w:rPr>
        <w:t>邮 编：</w:t>
      </w:r>
    </w:p>
    <w:p w14:paraId="6A4CB6C3">
      <w:pPr>
        <w:pStyle w:val="223"/>
        <w:spacing w:before="0" w:after="0"/>
        <w:ind w:firstLine="479"/>
        <w:rPr>
          <w:rFonts w:ascii="宋体" w:hAnsi="宋体"/>
          <w:color w:val="auto"/>
          <w:sz w:val="21"/>
          <w:szCs w:val="21"/>
          <w:highlight w:val="none"/>
        </w:rPr>
      </w:pPr>
      <w:r>
        <w:rPr>
          <w:rFonts w:hint="eastAsia" w:ascii="宋体" w:hAnsi="宋体"/>
          <w:color w:val="auto"/>
          <w:sz w:val="21"/>
          <w:szCs w:val="21"/>
          <w:highlight w:val="none"/>
        </w:rPr>
        <w:t xml:space="preserve">电 话： </w:t>
      </w:r>
    </w:p>
    <w:p w14:paraId="57967879">
      <w:pPr>
        <w:pStyle w:val="223"/>
        <w:spacing w:before="0" w:after="0"/>
        <w:ind w:firstLine="479"/>
        <w:rPr>
          <w:rFonts w:ascii="宋体" w:hAnsi="宋体"/>
          <w:color w:val="auto"/>
          <w:sz w:val="21"/>
          <w:szCs w:val="21"/>
          <w:highlight w:val="none"/>
        </w:rPr>
      </w:pPr>
      <w:r>
        <w:rPr>
          <w:rFonts w:hint="eastAsia" w:ascii="宋体" w:hAnsi="宋体"/>
          <w:color w:val="auto"/>
          <w:sz w:val="21"/>
          <w:szCs w:val="21"/>
          <w:highlight w:val="none"/>
        </w:rPr>
        <w:t xml:space="preserve">传 真： </w:t>
      </w:r>
    </w:p>
    <w:p w14:paraId="2DE3B2E1">
      <w:pPr>
        <w:pStyle w:val="223"/>
        <w:spacing w:before="0" w:after="0"/>
        <w:ind w:firstLine="479"/>
        <w:rPr>
          <w:rFonts w:ascii="宋体" w:hAnsi="宋体"/>
          <w:color w:val="auto"/>
          <w:sz w:val="21"/>
          <w:szCs w:val="21"/>
          <w:highlight w:val="none"/>
        </w:rPr>
      </w:pPr>
      <w:r>
        <w:rPr>
          <w:rFonts w:hint="eastAsia" w:ascii="宋体" w:hAnsi="宋体"/>
          <w:color w:val="auto"/>
          <w:sz w:val="21"/>
          <w:szCs w:val="21"/>
          <w:highlight w:val="none"/>
        </w:rPr>
        <w:t>投标人开户行：</w:t>
      </w:r>
    </w:p>
    <w:p w14:paraId="176FA562">
      <w:pPr>
        <w:pStyle w:val="223"/>
        <w:spacing w:before="0" w:after="0"/>
        <w:ind w:firstLine="479"/>
        <w:rPr>
          <w:rFonts w:ascii="宋体" w:hAnsi="宋体"/>
          <w:color w:val="auto"/>
          <w:sz w:val="21"/>
          <w:szCs w:val="21"/>
          <w:highlight w:val="none"/>
        </w:rPr>
      </w:pPr>
      <w:r>
        <w:rPr>
          <w:rFonts w:hint="eastAsia" w:ascii="宋体" w:hAnsi="宋体"/>
          <w:color w:val="auto"/>
          <w:sz w:val="21"/>
          <w:szCs w:val="21"/>
          <w:highlight w:val="none"/>
        </w:rPr>
        <w:t xml:space="preserve">账 户： </w:t>
      </w:r>
    </w:p>
    <w:p w14:paraId="729504DF">
      <w:pPr>
        <w:pStyle w:val="223"/>
        <w:spacing w:before="0" w:after="0"/>
        <w:ind w:firstLine="479"/>
        <w:rPr>
          <w:rFonts w:ascii="宋体" w:hAnsi="宋体"/>
          <w:color w:val="auto"/>
          <w:sz w:val="21"/>
          <w:szCs w:val="21"/>
          <w:highlight w:val="none"/>
        </w:rPr>
      </w:pPr>
      <w:r>
        <w:rPr>
          <w:rFonts w:hint="eastAsia" w:ascii="宋体" w:hAnsi="宋体"/>
          <w:color w:val="auto"/>
          <w:sz w:val="21"/>
          <w:szCs w:val="21"/>
          <w:highlight w:val="none"/>
        </w:rPr>
        <w:t>行 号：</w:t>
      </w:r>
    </w:p>
    <w:p w14:paraId="71A844C4">
      <w:pPr>
        <w:pStyle w:val="223"/>
        <w:spacing w:before="0" w:after="0"/>
        <w:ind w:firstLine="479"/>
        <w:rPr>
          <w:rFonts w:ascii="宋体" w:hAnsi="宋体"/>
          <w:color w:val="auto"/>
          <w:sz w:val="21"/>
          <w:szCs w:val="21"/>
          <w:highlight w:val="none"/>
        </w:rPr>
      </w:pPr>
      <w:r>
        <w:rPr>
          <w:rFonts w:hint="eastAsia" w:ascii="宋体" w:hAnsi="宋体"/>
          <w:color w:val="auto"/>
          <w:sz w:val="21"/>
          <w:szCs w:val="21"/>
          <w:highlight w:val="none"/>
        </w:rPr>
        <w:t>日 期：________年____月____日</w:t>
      </w:r>
    </w:p>
    <w:p w14:paraId="21A08DF5">
      <w:pPr>
        <w:spacing w:line="360" w:lineRule="auto"/>
        <w:contextualSpacing/>
        <w:rPr>
          <w:rFonts w:ascii="宋体" w:hAnsi="宋体"/>
          <w:b/>
          <w:bCs/>
          <w:color w:val="auto"/>
          <w:sz w:val="32"/>
          <w:szCs w:val="32"/>
          <w:highlight w:val="none"/>
        </w:rPr>
      </w:pPr>
    </w:p>
    <w:p w14:paraId="7CCB001E">
      <w:pPr>
        <w:spacing w:line="360" w:lineRule="auto"/>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法人授权书</w:t>
      </w:r>
    </w:p>
    <w:p w14:paraId="27007ED4">
      <w:pPr>
        <w:pStyle w:val="224"/>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本授权书声明：</w:t>
      </w:r>
      <w:r>
        <w:rPr>
          <w:rFonts w:ascii="宋体" w:hAnsi="宋体"/>
          <w:color w:val="auto"/>
          <w:sz w:val="21"/>
          <w:szCs w:val="21"/>
          <w:highlight w:val="none"/>
        </w:rPr>
        <w:t>________________</w:t>
      </w:r>
      <w:r>
        <w:rPr>
          <w:rFonts w:hint="eastAsia" w:ascii="宋体" w:hAnsi="宋体"/>
          <w:color w:val="auto"/>
          <w:sz w:val="21"/>
          <w:szCs w:val="21"/>
          <w:highlight w:val="none"/>
        </w:rPr>
        <w:t>（投标人名称）授权</w:t>
      </w:r>
      <w:r>
        <w:rPr>
          <w:rFonts w:ascii="宋体" w:hAnsi="宋体"/>
          <w:color w:val="auto"/>
          <w:sz w:val="21"/>
          <w:szCs w:val="21"/>
          <w:highlight w:val="none"/>
        </w:rPr>
        <w:t>________________</w:t>
      </w:r>
      <w:r>
        <w:rPr>
          <w:rFonts w:hint="eastAsia" w:ascii="宋体" w:hAnsi="宋体"/>
          <w:color w:val="auto"/>
          <w:sz w:val="21"/>
          <w:szCs w:val="21"/>
          <w:highlight w:val="none"/>
        </w:rPr>
        <w:t>（被授权人的姓名）为我方就（项目编号）号（项目名称）项目采购活动的合法代理人，以本公司名义全权处理一切与该项目采购有关的事务。</w:t>
      </w:r>
    </w:p>
    <w:p w14:paraId="30995EC1">
      <w:pPr>
        <w:pStyle w:val="224"/>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本授权书于</w:t>
      </w:r>
      <w:r>
        <w:rPr>
          <w:rFonts w:ascii="宋体" w:hAnsi="宋体"/>
          <w:color w:val="auto"/>
          <w:sz w:val="21"/>
          <w:szCs w:val="21"/>
          <w:highlight w:val="none"/>
        </w:rPr>
        <w:t>______</w:t>
      </w:r>
      <w:r>
        <w:rPr>
          <w:rFonts w:hint="eastAsia" w:ascii="宋体" w:hAnsi="宋体"/>
          <w:color w:val="auto"/>
          <w:sz w:val="21"/>
          <w:szCs w:val="21"/>
          <w:highlight w:val="none"/>
        </w:rPr>
        <w:t>年</w:t>
      </w:r>
      <w:r>
        <w:rPr>
          <w:rFonts w:ascii="宋体" w:hAnsi="宋体"/>
          <w:color w:val="auto"/>
          <w:sz w:val="21"/>
          <w:szCs w:val="21"/>
          <w:highlight w:val="none"/>
        </w:rPr>
        <w:t>____</w:t>
      </w:r>
      <w:r>
        <w:rPr>
          <w:rFonts w:hint="eastAsia" w:ascii="宋体" w:hAnsi="宋体"/>
          <w:color w:val="auto"/>
          <w:sz w:val="21"/>
          <w:szCs w:val="21"/>
          <w:highlight w:val="none"/>
        </w:rPr>
        <w:t>月</w:t>
      </w:r>
      <w:r>
        <w:rPr>
          <w:rFonts w:ascii="宋体" w:hAnsi="宋体"/>
          <w:color w:val="auto"/>
          <w:sz w:val="21"/>
          <w:szCs w:val="21"/>
          <w:highlight w:val="none"/>
        </w:rPr>
        <w:t>____</w:t>
      </w:r>
      <w:r>
        <w:rPr>
          <w:rFonts w:hint="eastAsia" w:ascii="宋体" w:hAnsi="宋体"/>
          <w:color w:val="auto"/>
          <w:sz w:val="21"/>
          <w:szCs w:val="21"/>
          <w:highlight w:val="none"/>
        </w:rPr>
        <w:t>日起生效，特此声明。</w:t>
      </w:r>
    </w:p>
    <w:p w14:paraId="15DEB46B">
      <w:pPr>
        <w:pStyle w:val="224"/>
        <w:spacing w:line="360" w:lineRule="auto"/>
        <w:ind w:firstLine="0"/>
        <w:rPr>
          <w:rFonts w:ascii="宋体" w:hAnsi="宋体"/>
          <w:color w:val="auto"/>
          <w:sz w:val="21"/>
          <w:szCs w:val="21"/>
          <w:highlight w:val="none"/>
        </w:rPr>
      </w:pPr>
      <w:r>
        <w:rPr>
          <w:rFonts w:ascii="宋体" w:hAnsi="宋体"/>
          <w:color w:val="auto"/>
          <w:sz w:val="21"/>
          <w:szCs w:val="21"/>
          <w:highlight w:val="none"/>
        </w:rPr>
        <w:t xml:space="preserve">    </w:t>
      </w:r>
    </w:p>
    <w:p w14:paraId="236B83FF">
      <w:pPr>
        <w:pStyle w:val="224"/>
        <w:spacing w:line="360" w:lineRule="auto"/>
        <w:ind w:firstLine="420"/>
        <w:rPr>
          <w:rFonts w:ascii="宋体" w:hAnsi="宋体"/>
          <w:color w:val="auto"/>
          <w:sz w:val="21"/>
          <w:szCs w:val="21"/>
          <w:highlight w:val="none"/>
          <w:u w:val="single"/>
        </w:rPr>
      </w:pPr>
      <w:r>
        <w:rPr>
          <w:rFonts w:hint="eastAsia" w:ascii="宋体" w:hAnsi="宋体"/>
          <w:color w:val="auto"/>
          <w:sz w:val="21"/>
          <w:szCs w:val="21"/>
          <w:highlight w:val="none"/>
        </w:rPr>
        <w:t>被授权人姓名：</w:t>
      </w:r>
      <w:r>
        <w:rPr>
          <w:rFonts w:ascii="宋体" w:hAnsi="宋体"/>
          <w:color w:val="auto"/>
          <w:sz w:val="21"/>
          <w:szCs w:val="21"/>
          <w:highlight w:val="none"/>
        </w:rPr>
        <w:t>_________________</w:t>
      </w:r>
      <w:r>
        <w:rPr>
          <w:rFonts w:hint="eastAsia" w:ascii="宋体" w:hAnsi="宋体"/>
          <w:color w:val="auto"/>
          <w:sz w:val="21"/>
          <w:szCs w:val="21"/>
          <w:highlight w:val="none"/>
        </w:rPr>
        <w:t xml:space="preserve">         </w:t>
      </w:r>
    </w:p>
    <w:p w14:paraId="09A8B8BE">
      <w:pPr>
        <w:pStyle w:val="224"/>
        <w:spacing w:line="360" w:lineRule="auto"/>
        <w:ind w:firstLine="420"/>
        <w:rPr>
          <w:rFonts w:ascii="宋体" w:hAnsi="宋体"/>
          <w:color w:val="auto"/>
          <w:sz w:val="21"/>
          <w:szCs w:val="21"/>
          <w:highlight w:val="none"/>
          <w:u w:val="single"/>
        </w:rPr>
      </w:pPr>
      <w:r>
        <w:rPr>
          <w:rFonts w:hint="eastAsia" w:ascii="宋体" w:hAnsi="宋体"/>
          <w:color w:val="auto"/>
          <w:sz w:val="21"/>
          <w:szCs w:val="21"/>
          <w:highlight w:val="none"/>
        </w:rPr>
        <w:t>联系电话（手机）：</w:t>
      </w:r>
      <w:r>
        <w:rPr>
          <w:rFonts w:hint="eastAsia" w:ascii="宋体" w:hAnsi="宋体"/>
          <w:color w:val="auto"/>
          <w:sz w:val="21"/>
          <w:szCs w:val="21"/>
          <w:highlight w:val="none"/>
          <w:u w:val="single"/>
        </w:rPr>
        <w:t xml:space="preserve">                             </w:t>
      </w:r>
    </w:p>
    <w:p w14:paraId="2A9F9764">
      <w:pPr>
        <w:pStyle w:val="224"/>
        <w:spacing w:line="360" w:lineRule="auto"/>
        <w:ind w:firstLine="0"/>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单位名称：</w:t>
      </w:r>
      <w:r>
        <w:rPr>
          <w:rFonts w:ascii="宋体" w:hAnsi="宋体"/>
          <w:color w:val="auto"/>
          <w:sz w:val="21"/>
          <w:szCs w:val="21"/>
          <w:highlight w:val="none"/>
        </w:rPr>
        <w:t>____________________________________</w:t>
      </w:r>
    </w:p>
    <w:p w14:paraId="1128C1EC">
      <w:pPr>
        <w:pStyle w:val="224"/>
        <w:spacing w:line="360" w:lineRule="auto"/>
        <w:ind w:firstLine="420"/>
        <w:rPr>
          <w:color w:val="auto"/>
          <w:sz w:val="21"/>
          <w:szCs w:val="21"/>
          <w:highlight w:val="none"/>
          <w:u w:val="single"/>
        </w:rPr>
      </w:pPr>
      <w:r>
        <w:rPr>
          <w:rFonts w:hint="eastAsia"/>
          <w:color w:val="auto"/>
          <w:sz w:val="21"/>
          <w:szCs w:val="21"/>
          <w:highlight w:val="none"/>
        </w:rPr>
        <w:t>单位地址：</w:t>
      </w:r>
      <w:r>
        <w:rPr>
          <w:color w:val="auto"/>
          <w:sz w:val="21"/>
          <w:szCs w:val="21"/>
          <w:highlight w:val="none"/>
          <w:u w:val="single"/>
        </w:rPr>
        <w:t xml:space="preserve">                                         </w:t>
      </w:r>
    </w:p>
    <w:p w14:paraId="140D34DD">
      <w:pPr>
        <w:pStyle w:val="224"/>
        <w:spacing w:line="360" w:lineRule="auto"/>
        <w:ind w:firstLine="420"/>
        <w:rPr>
          <w:color w:val="auto"/>
          <w:sz w:val="21"/>
          <w:szCs w:val="21"/>
          <w:highlight w:val="none"/>
        </w:rPr>
      </w:pPr>
      <w:r>
        <w:rPr>
          <w:rFonts w:hint="eastAsia"/>
          <w:color w:val="auto"/>
          <w:sz w:val="21"/>
          <w:szCs w:val="21"/>
          <w:highlight w:val="none"/>
        </w:rPr>
        <w:t>日期：</w:t>
      </w:r>
      <w:r>
        <w:rPr>
          <w:color w:val="auto"/>
          <w:sz w:val="21"/>
          <w:szCs w:val="21"/>
          <w:highlight w:val="none"/>
          <w:u w:val="single"/>
        </w:rPr>
        <w:t xml:space="preserve">                                         </w:t>
      </w:r>
      <w:r>
        <w:rPr>
          <w:color w:val="auto"/>
          <w:sz w:val="21"/>
          <w:szCs w:val="21"/>
          <w:highlight w:val="none"/>
        </w:rPr>
        <w:t xml:space="preserve"> </w:t>
      </w:r>
    </w:p>
    <w:p w14:paraId="17C18EB5">
      <w:pPr>
        <w:spacing w:line="360" w:lineRule="auto"/>
        <w:rPr>
          <w:rFonts w:ascii="宋体" w:hAnsi="宋体"/>
          <w:bCs/>
          <w:color w:val="auto"/>
          <w:highlight w:val="none"/>
        </w:rPr>
      </w:pPr>
    </w:p>
    <w:p w14:paraId="589B842A">
      <w:pPr>
        <w:spacing w:line="360" w:lineRule="auto"/>
        <w:rPr>
          <w:rFonts w:ascii="宋体" w:hAnsi="宋体"/>
          <w:bCs/>
          <w:color w:val="auto"/>
          <w:sz w:val="24"/>
          <w:highlight w:val="none"/>
        </w:rPr>
      </w:pPr>
    </w:p>
    <w:p w14:paraId="434D953E">
      <w:pPr>
        <w:spacing w:line="360" w:lineRule="auto"/>
        <w:rPr>
          <w:rFonts w:hint="eastAsia" w:ascii="宋体" w:hAnsi="宋体"/>
          <w:bCs/>
          <w:color w:val="auto"/>
          <w:highlight w:val="none"/>
        </w:rPr>
      </w:pPr>
      <w:r>
        <w:rPr>
          <w:rFonts w:hint="eastAsia" w:ascii="宋体" w:hAnsi="宋体"/>
          <w:bCs/>
          <w:color w:val="auto"/>
          <w:highlight w:val="none"/>
        </w:rPr>
        <w:t>注：</w:t>
      </w:r>
    </w:p>
    <w:p w14:paraId="186B2D54">
      <w:pPr>
        <w:spacing w:line="360" w:lineRule="auto"/>
        <w:ind w:firstLine="420"/>
        <w:rPr>
          <w:rFonts w:hint="eastAsia" w:ascii="宋体" w:hAnsi="宋体"/>
          <w:bCs/>
          <w:color w:val="auto"/>
          <w:highlight w:val="none"/>
        </w:rPr>
      </w:pPr>
      <w:r>
        <w:rPr>
          <w:rFonts w:hint="eastAsia" w:ascii="宋体" w:hAnsi="宋体"/>
          <w:bCs/>
          <w:color w:val="auto"/>
          <w:highlight w:val="none"/>
        </w:rPr>
        <w:t>1、需同时提供法定代表人和被授权人身份证复印件，如法定代表人签署文件则无需出具授权书，仅需提供法定代表人身份证复印件</w:t>
      </w:r>
    </w:p>
    <w:p w14:paraId="73C44AED">
      <w:pPr>
        <w:spacing w:line="360" w:lineRule="auto"/>
        <w:ind w:firstLine="420"/>
        <w:rPr>
          <w:rFonts w:hint="eastAsia" w:ascii="宋体" w:hAnsi="宋体"/>
          <w:bCs/>
          <w:color w:val="auto"/>
          <w:highlight w:val="none"/>
        </w:rPr>
        <w:sectPr>
          <w:headerReference r:id="rId5" w:type="default"/>
          <w:footerReference r:id="rId6" w:type="default"/>
          <w:pgSz w:w="11906" w:h="16838"/>
          <w:pgMar w:top="1440" w:right="1486" w:bottom="1440" w:left="1180" w:header="851" w:footer="992" w:gutter="0"/>
          <w:pgNumType w:fmt="decimal"/>
          <w:cols w:space="720" w:num="1"/>
          <w:docGrid w:linePitch="360" w:charSpace="0"/>
        </w:sectPr>
      </w:pPr>
    </w:p>
    <w:p w14:paraId="197D5630">
      <w:pPr>
        <w:pStyle w:val="194"/>
        <w:spacing w:line="360" w:lineRule="auto"/>
        <w:rPr>
          <w:rFonts w:ascii="宋体" w:hAnsi="宋体"/>
          <w:b/>
          <w:color w:val="auto"/>
          <w:sz w:val="32"/>
          <w:szCs w:val="32"/>
          <w:highlight w:val="none"/>
        </w:rPr>
      </w:pPr>
      <w:bookmarkStart w:id="72" w:name="_Toc4788"/>
      <w:r>
        <w:rPr>
          <w:rFonts w:hint="eastAsia" w:ascii="宋体" w:hAnsi="宋体" w:eastAsia="宋体"/>
          <w:color w:val="auto"/>
          <w:sz w:val="32"/>
          <w:highlight w:val="none"/>
        </w:rPr>
        <w:t>二、符合性审查响应对照表</w:t>
      </w:r>
      <w:bookmarkEnd w:id="72"/>
    </w:p>
    <w:tbl>
      <w:tblPr>
        <w:tblStyle w:val="38"/>
        <w:tblpPr w:leftFromText="180" w:rightFromText="180" w:vertAnchor="text" w:horzAnchor="page" w:tblpX="1447" w:tblpY="297"/>
        <w:tblOverlap w:val="neve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148B9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0C790760">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序号</w:t>
            </w:r>
          </w:p>
        </w:tc>
        <w:tc>
          <w:tcPr>
            <w:tcW w:w="5447" w:type="dxa"/>
            <w:noWrap w:val="0"/>
            <w:vAlign w:val="center"/>
          </w:tcPr>
          <w:p w14:paraId="6CCBCE88">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符合性审查响应内容</w:t>
            </w:r>
          </w:p>
        </w:tc>
        <w:tc>
          <w:tcPr>
            <w:tcW w:w="1680" w:type="dxa"/>
            <w:noWrap w:val="0"/>
            <w:vAlign w:val="center"/>
          </w:tcPr>
          <w:p w14:paraId="25F7567B">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是否响应</w:t>
            </w:r>
          </w:p>
          <w:p w14:paraId="74543683">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（填是或者否）</w:t>
            </w:r>
          </w:p>
        </w:tc>
        <w:tc>
          <w:tcPr>
            <w:tcW w:w="1308" w:type="dxa"/>
            <w:noWrap w:val="0"/>
            <w:vAlign w:val="center"/>
          </w:tcPr>
          <w:p w14:paraId="076647E3">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响应情况</w:t>
            </w:r>
          </w:p>
        </w:tc>
      </w:tr>
      <w:tr w14:paraId="7B58F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784CCCE6">
            <w:pPr>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1</w:t>
            </w:r>
          </w:p>
        </w:tc>
        <w:tc>
          <w:tcPr>
            <w:tcW w:w="5447" w:type="dxa"/>
            <w:noWrap w:val="0"/>
            <w:vAlign w:val="center"/>
          </w:tcPr>
          <w:p w14:paraId="687B74DC">
            <w:pPr>
              <w:spacing w:line="360" w:lineRule="auto"/>
              <w:jc w:val="left"/>
              <w:rPr>
                <w:color w:val="auto"/>
                <w:szCs w:val="21"/>
                <w:highlight w:val="none"/>
              </w:rPr>
            </w:pPr>
            <w:r>
              <w:rPr>
                <w:rFonts w:hint="eastAsia"/>
                <w:color w:val="auto"/>
                <w:szCs w:val="21"/>
                <w:highlight w:val="none"/>
              </w:rPr>
              <w:t>非选择性报价</w:t>
            </w:r>
          </w:p>
        </w:tc>
        <w:tc>
          <w:tcPr>
            <w:tcW w:w="1680" w:type="dxa"/>
            <w:noWrap w:val="0"/>
            <w:vAlign w:val="center"/>
          </w:tcPr>
          <w:p w14:paraId="41FE0541">
            <w:pPr>
              <w:spacing w:line="360" w:lineRule="auto"/>
              <w:rPr>
                <w:rFonts w:ascii="宋体" w:hAnsi="宋体"/>
                <w:b/>
                <w:color w:val="auto"/>
                <w:szCs w:val="21"/>
                <w:highlight w:val="none"/>
              </w:rPr>
            </w:pPr>
          </w:p>
        </w:tc>
        <w:tc>
          <w:tcPr>
            <w:tcW w:w="1308" w:type="dxa"/>
            <w:noWrap w:val="0"/>
            <w:vAlign w:val="center"/>
          </w:tcPr>
          <w:p w14:paraId="42ECFEED">
            <w:pPr>
              <w:spacing w:line="360" w:lineRule="auto"/>
              <w:rPr>
                <w:rFonts w:ascii="宋体" w:hAnsi="宋体"/>
                <w:b/>
                <w:color w:val="auto"/>
                <w:szCs w:val="21"/>
                <w:highlight w:val="none"/>
              </w:rPr>
            </w:pPr>
          </w:p>
        </w:tc>
      </w:tr>
      <w:tr w14:paraId="7DB5E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0B04C1B8">
            <w:pPr>
              <w:spacing w:line="360" w:lineRule="auto"/>
              <w:jc w:val="center"/>
              <w:rPr>
                <w:rFonts w:hint="eastAsia" w:ascii="宋体" w:hAnsi="宋体"/>
                <w:b/>
                <w:color w:val="auto"/>
                <w:szCs w:val="21"/>
                <w:highlight w:val="none"/>
              </w:rPr>
            </w:pPr>
            <w:r>
              <w:rPr>
                <w:rFonts w:hint="eastAsia" w:ascii="宋体" w:hAnsi="宋体"/>
                <w:bCs/>
                <w:color w:val="auto"/>
                <w:szCs w:val="21"/>
                <w:highlight w:val="none"/>
              </w:rPr>
              <w:t>2</w:t>
            </w:r>
          </w:p>
        </w:tc>
        <w:tc>
          <w:tcPr>
            <w:tcW w:w="5447" w:type="dxa"/>
            <w:noWrap w:val="0"/>
            <w:vAlign w:val="center"/>
          </w:tcPr>
          <w:p w14:paraId="7B81035D">
            <w:pPr>
              <w:spacing w:line="360" w:lineRule="auto"/>
              <w:jc w:val="left"/>
              <w:rPr>
                <w:rFonts w:ascii="宋体" w:hAnsi="宋体"/>
                <w:iCs/>
                <w:color w:val="auto"/>
                <w:szCs w:val="21"/>
                <w:highlight w:val="none"/>
              </w:rPr>
            </w:pPr>
            <w:r>
              <w:rPr>
                <w:color w:val="auto"/>
                <w:szCs w:val="21"/>
                <w:highlight w:val="none"/>
              </w:rPr>
              <w:t>法定代表人身份证明或授权委托书</w:t>
            </w:r>
          </w:p>
        </w:tc>
        <w:tc>
          <w:tcPr>
            <w:tcW w:w="1680" w:type="dxa"/>
            <w:noWrap w:val="0"/>
            <w:vAlign w:val="center"/>
          </w:tcPr>
          <w:p w14:paraId="01D883CD">
            <w:pPr>
              <w:spacing w:line="360" w:lineRule="auto"/>
              <w:rPr>
                <w:rFonts w:ascii="宋体" w:hAnsi="宋体"/>
                <w:b/>
                <w:color w:val="auto"/>
                <w:szCs w:val="21"/>
                <w:highlight w:val="none"/>
              </w:rPr>
            </w:pPr>
          </w:p>
        </w:tc>
        <w:tc>
          <w:tcPr>
            <w:tcW w:w="1308" w:type="dxa"/>
            <w:noWrap w:val="0"/>
            <w:vAlign w:val="center"/>
          </w:tcPr>
          <w:p w14:paraId="29E4727D">
            <w:pPr>
              <w:spacing w:line="360" w:lineRule="auto"/>
              <w:rPr>
                <w:rFonts w:ascii="宋体" w:hAnsi="宋体"/>
                <w:b/>
                <w:color w:val="auto"/>
                <w:szCs w:val="21"/>
                <w:highlight w:val="none"/>
              </w:rPr>
            </w:pPr>
          </w:p>
        </w:tc>
      </w:tr>
      <w:tr w14:paraId="723D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0CEAC5A3">
            <w:pPr>
              <w:spacing w:line="360" w:lineRule="auto"/>
              <w:jc w:val="center"/>
              <w:rPr>
                <w:rFonts w:hint="eastAsia" w:ascii="宋体" w:hAnsi="宋体"/>
                <w:color w:val="auto"/>
                <w:szCs w:val="21"/>
                <w:highlight w:val="none"/>
              </w:rPr>
            </w:pPr>
            <w:r>
              <w:rPr>
                <w:rFonts w:hint="eastAsia" w:ascii="宋体" w:hAnsi="宋体"/>
                <w:color w:val="auto"/>
                <w:szCs w:val="21"/>
                <w:highlight w:val="none"/>
              </w:rPr>
              <w:t>3</w:t>
            </w:r>
          </w:p>
        </w:tc>
        <w:tc>
          <w:tcPr>
            <w:tcW w:w="5447" w:type="dxa"/>
            <w:noWrap w:val="0"/>
            <w:vAlign w:val="center"/>
          </w:tcPr>
          <w:p w14:paraId="64847227">
            <w:pPr>
              <w:spacing w:line="360" w:lineRule="auto"/>
              <w:jc w:val="left"/>
              <w:rPr>
                <w:rFonts w:ascii="宋体" w:hAnsi="宋体"/>
                <w:iCs/>
                <w:color w:val="auto"/>
                <w:szCs w:val="21"/>
                <w:highlight w:val="none"/>
              </w:rPr>
            </w:pPr>
            <w:r>
              <w:rPr>
                <w:color w:val="auto"/>
                <w:szCs w:val="21"/>
                <w:highlight w:val="none"/>
              </w:rPr>
              <w:t>投标文件签署、盖章齐全完整</w:t>
            </w:r>
          </w:p>
        </w:tc>
        <w:tc>
          <w:tcPr>
            <w:tcW w:w="1680" w:type="dxa"/>
            <w:noWrap w:val="0"/>
            <w:vAlign w:val="center"/>
          </w:tcPr>
          <w:p w14:paraId="709B2771">
            <w:pPr>
              <w:spacing w:line="360" w:lineRule="auto"/>
              <w:rPr>
                <w:rFonts w:ascii="宋体" w:hAnsi="宋体"/>
                <w:color w:val="auto"/>
                <w:szCs w:val="21"/>
                <w:highlight w:val="none"/>
              </w:rPr>
            </w:pPr>
          </w:p>
        </w:tc>
        <w:tc>
          <w:tcPr>
            <w:tcW w:w="1308" w:type="dxa"/>
            <w:noWrap w:val="0"/>
            <w:vAlign w:val="center"/>
          </w:tcPr>
          <w:p w14:paraId="3153EC16">
            <w:pPr>
              <w:spacing w:line="360" w:lineRule="auto"/>
              <w:rPr>
                <w:rFonts w:ascii="宋体" w:hAnsi="宋体"/>
                <w:color w:val="auto"/>
                <w:szCs w:val="21"/>
                <w:highlight w:val="none"/>
              </w:rPr>
            </w:pPr>
          </w:p>
        </w:tc>
      </w:tr>
      <w:tr w14:paraId="57257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40C55E06">
            <w:pPr>
              <w:spacing w:line="360" w:lineRule="auto"/>
              <w:jc w:val="center"/>
              <w:rPr>
                <w:rFonts w:hint="eastAsia" w:ascii="宋体" w:hAnsi="宋体"/>
                <w:color w:val="auto"/>
                <w:szCs w:val="21"/>
                <w:highlight w:val="none"/>
              </w:rPr>
            </w:pPr>
            <w:r>
              <w:rPr>
                <w:rFonts w:hint="eastAsia" w:ascii="宋体" w:hAnsi="宋体"/>
                <w:color w:val="auto"/>
                <w:szCs w:val="21"/>
                <w:highlight w:val="none"/>
              </w:rPr>
              <w:t>4</w:t>
            </w:r>
          </w:p>
        </w:tc>
        <w:tc>
          <w:tcPr>
            <w:tcW w:w="5447" w:type="dxa"/>
            <w:noWrap w:val="0"/>
            <w:vAlign w:val="center"/>
          </w:tcPr>
          <w:p w14:paraId="1BBA74AF">
            <w:pPr>
              <w:spacing w:line="360" w:lineRule="auto"/>
              <w:jc w:val="left"/>
              <w:rPr>
                <w:rFonts w:ascii="宋体" w:hAnsi="宋体"/>
                <w:iCs/>
                <w:color w:val="auto"/>
                <w:szCs w:val="21"/>
                <w:highlight w:val="none"/>
              </w:rPr>
            </w:pPr>
            <w:r>
              <w:rPr>
                <w:rFonts w:hint="eastAsia"/>
                <w:color w:val="auto"/>
                <w:szCs w:val="21"/>
                <w:highlight w:val="none"/>
              </w:rPr>
              <w:t>投标有效期</w:t>
            </w:r>
          </w:p>
        </w:tc>
        <w:tc>
          <w:tcPr>
            <w:tcW w:w="1680" w:type="dxa"/>
            <w:noWrap w:val="0"/>
            <w:vAlign w:val="center"/>
          </w:tcPr>
          <w:p w14:paraId="26416412">
            <w:pPr>
              <w:spacing w:line="360" w:lineRule="auto"/>
              <w:rPr>
                <w:rFonts w:ascii="宋体" w:hAnsi="宋体"/>
                <w:color w:val="auto"/>
                <w:szCs w:val="21"/>
                <w:highlight w:val="none"/>
              </w:rPr>
            </w:pPr>
          </w:p>
        </w:tc>
        <w:tc>
          <w:tcPr>
            <w:tcW w:w="1308" w:type="dxa"/>
            <w:noWrap w:val="0"/>
            <w:vAlign w:val="center"/>
          </w:tcPr>
          <w:p w14:paraId="2FC693F3">
            <w:pPr>
              <w:spacing w:line="360" w:lineRule="auto"/>
              <w:rPr>
                <w:rFonts w:ascii="宋体" w:hAnsi="宋体"/>
                <w:color w:val="auto"/>
                <w:szCs w:val="21"/>
                <w:highlight w:val="none"/>
              </w:rPr>
            </w:pPr>
          </w:p>
        </w:tc>
      </w:tr>
      <w:tr w14:paraId="397FC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15FEEBE4">
            <w:pPr>
              <w:spacing w:line="360" w:lineRule="auto"/>
              <w:jc w:val="center"/>
              <w:rPr>
                <w:rFonts w:hint="eastAsia" w:ascii="宋体" w:hAnsi="宋体"/>
                <w:color w:val="auto"/>
                <w:szCs w:val="21"/>
                <w:highlight w:val="none"/>
              </w:rPr>
            </w:pPr>
            <w:r>
              <w:rPr>
                <w:rFonts w:hint="eastAsia" w:ascii="宋体" w:hAnsi="宋体"/>
                <w:color w:val="auto"/>
                <w:szCs w:val="21"/>
                <w:highlight w:val="none"/>
              </w:rPr>
              <w:t>5</w:t>
            </w:r>
          </w:p>
        </w:tc>
        <w:tc>
          <w:tcPr>
            <w:tcW w:w="5447" w:type="dxa"/>
            <w:noWrap w:val="0"/>
            <w:vAlign w:val="center"/>
          </w:tcPr>
          <w:p w14:paraId="7AC814F9">
            <w:pPr>
              <w:spacing w:line="360" w:lineRule="auto"/>
              <w:jc w:val="left"/>
              <w:rPr>
                <w:rFonts w:ascii="宋体" w:hAnsi="宋体"/>
                <w:iCs/>
                <w:color w:val="auto"/>
                <w:szCs w:val="21"/>
                <w:highlight w:val="none"/>
              </w:rPr>
            </w:pPr>
            <w:r>
              <w:rPr>
                <w:rFonts w:hint="eastAsia"/>
                <w:color w:val="auto"/>
                <w:szCs w:val="21"/>
                <w:highlight w:val="none"/>
              </w:rPr>
              <w:t>项目需求中的实质性要求</w:t>
            </w:r>
          </w:p>
        </w:tc>
        <w:tc>
          <w:tcPr>
            <w:tcW w:w="1680" w:type="dxa"/>
            <w:noWrap w:val="0"/>
            <w:vAlign w:val="center"/>
          </w:tcPr>
          <w:p w14:paraId="1A78F138">
            <w:pPr>
              <w:spacing w:line="360" w:lineRule="auto"/>
              <w:rPr>
                <w:rFonts w:ascii="宋体" w:hAnsi="宋体"/>
                <w:color w:val="auto"/>
                <w:szCs w:val="21"/>
                <w:highlight w:val="none"/>
              </w:rPr>
            </w:pPr>
          </w:p>
        </w:tc>
        <w:tc>
          <w:tcPr>
            <w:tcW w:w="1308" w:type="dxa"/>
            <w:noWrap w:val="0"/>
            <w:vAlign w:val="center"/>
          </w:tcPr>
          <w:p w14:paraId="0DCF61B3">
            <w:pPr>
              <w:spacing w:line="360" w:lineRule="auto"/>
              <w:rPr>
                <w:rFonts w:ascii="宋体" w:hAnsi="宋体"/>
                <w:color w:val="auto"/>
                <w:szCs w:val="21"/>
                <w:highlight w:val="none"/>
              </w:rPr>
            </w:pPr>
          </w:p>
        </w:tc>
      </w:tr>
      <w:tr w14:paraId="372C9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7A6E91B2">
            <w:pPr>
              <w:spacing w:line="360" w:lineRule="auto"/>
              <w:jc w:val="center"/>
              <w:rPr>
                <w:rFonts w:hint="eastAsia" w:ascii="宋体" w:hAnsi="宋体"/>
                <w:color w:val="auto"/>
                <w:szCs w:val="21"/>
                <w:highlight w:val="none"/>
              </w:rPr>
            </w:pPr>
            <w:r>
              <w:rPr>
                <w:rFonts w:hint="eastAsia" w:ascii="宋体" w:hAnsi="宋体"/>
                <w:color w:val="auto"/>
                <w:szCs w:val="21"/>
                <w:highlight w:val="none"/>
              </w:rPr>
              <w:t>6</w:t>
            </w:r>
          </w:p>
        </w:tc>
        <w:tc>
          <w:tcPr>
            <w:tcW w:w="5447" w:type="dxa"/>
            <w:noWrap w:val="0"/>
            <w:vAlign w:val="center"/>
          </w:tcPr>
          <w:p w14:paraId="0F641509">
            <w:pPr>
              <w:spacing w:line="360" w:lineRule="auto"/>
              <w:jc w:val="left"/>
              <w:rPr>
                <w:rFonts w:ascii="宋体" w:hAnsi="宋体"/>
                <w:iCs/>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中小</w:t>
            </w:r>
            <w:r>
              <w:rPr>
                <w:rFonts w:hint="eastAsia" w:ascii="宋体" w:hAnsi="宋体"/>
                <w:color w:val="auto"/>
                <w:szCs w:val="21"/>
                <w:highlight w:val="none"/>
              </w:rPr>
              <w:t>企业声明函》</w:t>
            </w:r>
          </w:p>
        </w:tc>
        <w:tc>
          <w:tcPr>
            <w:tcW w:w="1680" w:type="dxa"/>
            <w:noWrap w:val="0"/>
            <w:vAlign w:val="center"/>
          </w:tcPr>
          <w:p w14:paraId="7EF50DEA">
            <w:pPr>
              <w:spacing w:line="360" w:lineRule="auto"/>
              <w:rPr>
                <w:rFonts w:ascii="宋体" w:hAnsi="宋体"/>
                <w:color w:val="auto"/>
                <w:szCs w:val="21"/>
                <w:highlight w:val="none"/>
              </w:rPr>
            </w:pPr>
          </w:p>
        </w:tc>
        <w:tc>
          <w:tcPr>
            <w:tcW w:w="1308" w:type="dxa"/>
            <w:noWrap w:val="0"/>
            <w:vAlign w:val="center"/>
          </w:tcPr>
          <w:p w14:paraId="27E8065C">
            <w:pPr>
              <w:spacing w:line="360" w:lineRule="auto"/>
              <w:rPr>
                <w:rFonts w:ascii="宋体" w:hAnsi="宋体"/>
                <w:color w:val="auto"/>
                <w:szCs w:val="21"/>
                <w:highlight w:val="none"/>
              </w:rPr>
            </w:pPr>
          </w:p>
        </w:tc>
      </w:tr>
      <w:tr w14:paraId="1FEB9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574A7F4E">
            <w:pPr>
              <w:spacing w:line="360" w:lineRule="auto"/>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7</w:t>
            </w:r>
          </w:p>
        </w:tc>
        <w:tc>
          <w:tcPr>
            <w:tcW w:w="5447" w:type="dxa"/>
            <w:noWrap w:val="0"/>
            <w:vAlign w:val="center"/>
          </w:tcPr>
          <w:p w14:paraId="0DE0DE65">
            <w:pPr>
              <w:spacing w:line="360" w:lineRule="auto"/>
              <w:jc w:val="left"/>
              <w:rPr>
                <w:color w:val="auto"/>
                <w:szCs w:val="21"/>
                <w:highlight w:val="none"/>
              </w:rPr>
            </w:pPr>
            <w:r>
              <w:rPr>
                <w:color w:val="auto"/>
                <w:szCs w:val="21"/>
                <w:highlight w:val="none"/>
              </w:rPr>
              <w:t>其他</w:t>
            </w:r>
            <w:r>
              <w:rPr>
                <w:rFonts w:hint="eastAsia"/>
                <w:color w:val="auto"/>
                <w:szCs w:val="21"/>
                <w:highlight w:val="none"/>
              </w:rPr>
              <w:t>实质性要求</w:t>
            </w:r>
          </w:p>
        </w:tc>
        <w:tc>
          <w:tcPr>
            <w:tcW w:w="1680" w:type="dxa"/>
            <w:noWrap w:val="0"/>
            <w:vAlign w:val="center"/>
          </w:tcPr>
          <w:p w14:paraId="42E9D2B5">
            <w:pPr>
              <w:spacing w:line="360" w:lineRule="auto"/>
              <w:rPr>
                <w:rFonts w:ascii="宋体" w:hAnsi="宋体"/>
                <w:color w:val="auto"/>
                <w:szCs w:val="21"/>
                <w:highlight w:val="none"/>
              </w:rPr>
            </w:pPr>
          </w:p>
        </w:tc>
        <w:tc>
          <w:tcPr>
            <w:tcW w:w="1308" w:type="dxa"/>
            <w:noWrap w:val="0"/>
            <w:vAlign w:val="center"/>
          </w:tcPr>
          <w:p w14:paraId="16319CBB">
            <w:pPr>
              <w:spacing w:line="360" w:lineRule="auto"/>
              <w:rPr>
                <w:rFonts w:ascii="宋体" w:hAnsi="宋体"/>
                <w:color w:val="auto"/>
                <w:szCs w:val="21"/>
                <w:highlight w:val="none"/>
              </w:rPr>
            </w:pPr>
          </w:p>
        </w:tc>
      </w:tr>
    </w:tbl>
    <w:p w14:paraId="56C72720">
      <w:pPr>
        <w:spacing w:line="360" w:lineRule="auto"/>
        <w:contextualSpacing/>
        <w:jc w:val="center"/>
        <w:rPr>
          <w:rFonts w:ascii="宋体" w:hAnsi="宋体"/>
          <w:b/>
          <w:bCs/>
          <w:color w:val="auto"/>
          <w:sz w:val="32"/>
          <w:szCs w:val="32"/>
          <w:highlight w:val="none"/>
        </w:rPr>
      </w:pPr>
    </w:p>
    <w:p w14:paraId="2FC1F27F">
      <w:pPr>
        <w:spacing w:line="360" w:lineRule="auto"/>
        <w:contextualSpacing/>
        <w:jc w:val="center"/>
        <w:rPr>
          <w:rFonts w:ascii="宋体" w:hAnsi="宋体"/>
          <w:b/>
          <w:bCs/>
          <w:color w:val="auto"/>
          <w:sz w:val="32"/>
          <w:szCs w:val="32"/>
          <w:highlight w:val="none"/>
        </w:rPr>
      </w:pPr>
    </w:p>
    <w:p w14:paraId="204B9D5F">
      <w:pPr>
        <w:spacing w:line="360" w:lineRule="auto"/>
        <w:contextualSpacing/>
        <w:jc w:val="center"/>
        <w:rPr>
          <w:rFonts w:ascii="宋体" w:hAnsi="宋体"/>
          <w:b/>
          <w:bCs/>
          <w:color w:val="auto"/>
          <w:sz w:val="32"/>
          <w:szCs w:val="32"/>
          <w:highlight w:val="none"/>
        </w:rPr>
      </w:pPr>
    </w:p>
    <w:p w14:paraId="1CA47B34">
      <w:pPr>
        <w:spacing w:line="360" w:lineRule="auto"/>
        <w:contextualSpacing/>
        <w:jc w:val="center"/>
        <w:rPr>
          <w:rFonts w:ascii="宋体" w:hAnsi="宋体"/>
          <w:b/>
          <w:bCs/>
          <w:color w:val="auto"/>
          <w:sz w:val="32"/>
          <w:szCs w:val="32"/>
          <w:highlight w:val="none"/>
        </w:rPr>
      </w:pPr>
    </w:p>
    <w:p w14:paraId="25180853">
      <w:pPr>
        <w:spacing w:line="360" w:lineRule="auto"/>
        <w:contextualSpacing/>
        <w:jc w:val="center"/>
        <w:rPr>
          <w:rFonts w:ascii="宋体" w:hAnsi="宋体"/>
          <w:b/>
          <w:bCs/>
          <w:color w:val="auto"/>
          <w:sz w:val="32"/>
          <w:szCs w:val="32"/>
          <w:highlight w:val="none"/>
        </w:rPr>
      </w:pPr>
    </w:p>
    <w:p w14:paraId="6B6C1FFD">
      <w:pPr>
        <w:spacing w:line="360" w:lineRule="auto"/>
        <w:contextualSpacing/>
        <w:jc w:val="center"/>
        <w:rPr>
          <w:rFonts w:ascii="宋体" w:hAnsi="宋体"/>
          <w:b/>
          <w:bCs/>
          <w:color w:val="auto"/>
          <w:sz w:val="32"/>
          <w:szCs w:val="32"/>
          <w:highlight w:val="none"/>
        </w:rPr>
      </w:pPr>
    </w:p>
    <w:p w14:paraId="39A903FB">
      <w:pPr>
        <w:rPr>
          <w:rFonts w:hint="eastAsia" w:ascii="宋体" w:hAnsi="宋体" w:eastAsia="宋体"/>
          <w:color w:val="auto"/>
          <w:sz w:val="32"/>
          <w:highlight w:val="none"/>
        </w:rPr>
      </w:pPr>
      <w:r>
        <w:rPr>
          <w:rFonts w:hint="eastAsia" w:ascii="宋体" w:hAnsi="宋体" w:eastAsia="宋体"/>
          <w:color w:val="auto"/>
          <w:sz w:val="32"/>
          <w:highlight w:val="none"/>
        </w:rPr>
        <w:br w:type="page"/>
      </w:r>
    </w:p>
    <w:p w14:paraId="6414A2AE">
      <w:pPr>
        <w:spacing w:before="312" w:after="312" w:line="360" w:lineRule="auto"/>
        <w:jc w:val="center"/>
        <w:rPr>
          <w:rFonts w:hint="eastAsia"/>
          <w:b/>
          <w:bCs/>
          <w:color w:val="auto"/>
          <w:highlight w:val="none"/>
        </w:rPr>
      </w:pPr>
      <w:bookmarkStart w:id="73" w:name="_Toc11640"/>
      <w:r>
        <w:rPr>
          <w:rFonts w:hint="eastAsia"/>
          <w:b/>
          <w:bCs/>
          <w:color w:val="auto"/>
          <w:highlight w:val="none"/>
        </w:rPr>
        <w:t>中小企业声明函（货物）</w:t>
      </w:r>
    </w:p>
    <w:p w14:paraId="494EE7DB">
      <w:pPr>
        <w:spacing w:line="312" w:lineRule="auto"/>
        <w:ind w:firstLine="420"/>
        <w:jc w:val="left"/>
        <w:rPr>
          <w:color w:val="auto"/>
          <w:highlight w:val="none"/>
        </w:rPr>
      </w:pPr>
      <w:r>
        <w:rPr>
          <w:rFonts w:hint="eastAsia"/>
          <w:color w:val="auto"/>
          <w:highlight w:val="none"/>
        </w:rPr>
        <w:t>本公司（联合体）郑重声明，根据《政府采购促进中小企业发展管理办法》（财库﹝2020﹞46 号）的规定，本公司（联合体）参加</w:t>
      </w:r>
      <w:r>
        <w:rPr>
          <w:rFonts w:hint="eastAsia"/>
          <w:color w:val="auto"/>
          <w:highlight w:val="none"/>
          <w:u w:val="single"/>
        </w:rPr>
        <w:t>（单位名称）</w:t>
      </w:r>
      <w:r>
        <w:rPr>
          <w:rFonts w:hint="eastAsia"/>
          <w:color w:val="auto"/>
          <w:highlight w:val="none"/>
        </w:rPr>
        <w:t>的</w:t>
      </w:r>
      <w:r>
        <w:rPr>
          <w:rFonts w:hint="eastAsia"/>
          <w:color w:val="auto"/>
          <w:highlight w:val="none"/>
          <w:u w:val="single"/>
        </w:rPr>
        <w:t>（项目名称）</w:t>
      </w:r>
      <w:r>
        <w:rPr>
          <w:rFonts w:hint="eastAsia"/>
          <w:color w:val="auto"/>
          <w:highlight w:val="none"/>
        </w:rPr>
        <w:t>采购活动，提供的货物全部由符合政策要求的中小企业制造。相关企业（含联合体中的中小企业、签订分包意向协议的中小企业）的具体情况如下：</w:t>
      </w:r>
    </w:p>
    <w:p w14:paraId="7BB26447">
      <w:pPr>
        <w:spacing w:line="312" w:lineRule="auto"/>
        <w:ind w:firstLine="420"/>
        <w:jc w:val="left"/>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，属于</w:t>
      </w:r>
      <w:r>
        <w:rPr>
          <w:rFonts w:hint="eastAsia"/>
          <w:color w:val="auto"/>
          <w:highlight w:val="none"/>
          <w:u w:val="single"/>
        </w:rPr>
        <w:t>（采购文件中明确的所属行业）行业（</w:t>
      </w:r>
      <w:r>
        <w:rPr>
          <w:rFonts w:hint="eastAsia"/>
          <w:color w:val="auto"/>
          <w:highlight w:val="none"/>
          <w:u w:val="single"/>
          <w:lang w:val="en-US" w:eastAsia="zh-CN"/>
        </w:rPr>
        <w:t>工业</w:t>
      </w:r>
      <w:r>
        <w:rPr>
          <w:rFonts w:hint="eastAsia"/>
          <w:color w:val="auto"/>
          <w:highlight w:val="none"/>
          <w:u w:val="single"/>
        </w:rPr>
        <w:t>）</w:t>
      </w:r>
      <w:r>
        <w:rPr>
          <w:rFonts w:hint="eastAsia"/>
          <w:color w:val="auto"/>
          <w:highlight w:val="none"/>
        </w:rPr>
        <w:t>；制造商为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1</w:t>
      </w:r>
      <w:r>
        <w:rPr>
          <w:rFonts w:ascii="仿宋" w:eastAsia="Times New Roman"/>
          <w:color w:val="auto"/>
          <w:spacing w:val="-1"/>
          <w:highlight w:val="none"/>
          <w:vertAlign w:val="superscript"/>
        </w:rPr>
        <w:fldChar w:fldCharType="end"/>
      </w:r>
      <w:r>
        <w:rPr>
          <w:rFonts w:hint="eastAsia"/>
          <w:color w:val="auto"/>
          <w:highlight w:val="none"/>
        </w:rPr>
        <w:t>，属于</w:t>
      </w:r>
      <w:r>
        <w:rPr>
          <w:rFonts w:hint="eastAsia"/>
          <w:color w:val="auto"/>
          <w:highlight w:val="none"/>
          <w:u w:val="single"/>
        </w:rPr>
        <w:t>（中型企业、小型企业、微型企业）；</w:t>
      </w:r>
    </w:p>
    <w:p w14:paraId="01CF1018">
      <w:pPr>
        <w:spacing w:line="312" w:lineRule="auto"/>
        <w:ind w:firstLine="420"/>
        <w:jc w:val="left"/>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，属于</w:t>
      </w:r>
      <w:r>
        <w:rPr>
          <w:rFonts w:hint="eastAsia"/>
          <w:color w:val="auto"/>
          <w:highlight w:val="none"/>
          <w:u w:val="single"/>
        </w:rPr>
        <w:t>（采购文件中明确的所属行业）行业（</w:t>
      </w:r>
      <w:r>
        <w:rPr>
          <w:rFonts w:hint="eastAsia"/>
          <w:color w:val="auto"/>
          <w:highlight w:val="none"/>
          <w:u w:val="single"/>
          <w:lang w:val="en-US" w:eastAsia="zh-CN"/>
        </w:rPr>
        <w:t>工业</w:t>
      </w:r>
      <w:r>
        <w:rPr>
          <w:rFonts w:hint="eastAsia"/>
          <w:color w:val="auto"/>
          <w:highlight w:val="none"/>
          <w:u w:val="single"/>
        </w:rPr>
        <w:t>）；</w:t>
      </w:r>
      <w:r>
        <w:rPr>
          <w:rFonts w:hint="eastAsia"/>
          <w:color w:val="auto"/>
          <w:highlight w:val="none"/>
        </w:rPr>
        <w:t>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11B96567">
      <w:pPr>
        <w:spacing w:line="312" w:lineRule="auto"/>
        <w:ind w:firstLine="420"/>
        <w:jc w:val="left"/>
        <w:rPr>
          <w:color w:val="auto"/>
          <w:highlight w:val="none"/>
        </w:rPr>
      </w:pPr>
      <w:r>
        <w:rPr>
          <w:rFonts w:hint="eastAsia"/>
          <w:color w:val="auto"/>
          <w:highlight w:val="none"/>
        </w:rPr>
        <w:t>……</w:t>
      </w:r>
    </w:p>
    <w:p w14:paraId="68AF017A">
      <w:pPr>
        <w:spacing w:line="312" w:lineRule="auto"/>
        <w:ind w:firstLine="420"/>
        <w:jc w:val="left"/>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5129449F">
      <w:pPr>
        <w:spacing w:line="312" w:lineRule="auto"/>
        <w:ind w:firstLine="420"/>
        <w:jc w:val="left"/>
        <w:rPr>
          <w:color w:val="auto"/>
          <w:highlight w:val="none"/>
        </w:rPr>
      </w:pPr>
      <w:r>
        <w:rPr>
          <w:rFonts w:hint="eastAsia"/>
          <w:color w:val="auto"/>
          <w:highlight w:val="none"/>
        </w:rPr>
        <w:t>本企业对上述声明内容的真实性负责。如有虚假，将依法承担相应责任。</w:t>
      </w:r>
    </w:p>
    <w:p w14:paraId="6EA54FE3">
      <w:pPr>
        <w:spacing w:line="312" w:lineRule="auto"/>
        <w:ind w:firstLine="420"/>
        <w:jc w:val="left"/>
        <w:rPr>
          <w:color w:val="auto"/>
          <w:highlight w:val="none"/>
        </w:rPr>
      </w:pPr>
    </w:p>
    <w:p w14:paraId="2CBF2635">
      <w:pPr>
        <w:spacing w:line="312" w:lineRule="auto"/>
        <w:jc w:val="left"/>
        <w:rPr>
          <w:color w:val="auto"/>
          <w:highlight w:val="none"/>
        </w:rPr>
      </w:pPr>
      <w:r>
        <w:rPr>
          <w:rFonts w:hint="eastAsia" w:ascii="宋体" w:hAnsi="宋体"/>
          <w:color w:val="auto"/>
          <w:highlight w:val="none"/>
        </w:rPr>
        <w:t>注： 1、</w:t>
      </w:r>
      <w:r>
        <w:rPr>
          <w:rFonts w:hint="eastAsia"/>
          <w:color w:val="auto"/>
          <w:highlight w:val="none"/>
        </w:rPr>
        <w:t>从业人员（不仅指在职职工）、营业收入、资产总额填报上一年度数据，无上一年度数据的新成立企业可不填报。</w:t>
      </w:r>
    </w:p>
    <w:p w14:paraId="02BAB8C0">
      <w:pPr>
        <w:spacing w:line="312" w:lineRule="auto"/>
        <w:ind w:firstLine="420"/>
        <w:rPr>
          <w:rFonts w:ascii="宋体" w:hAnsi="宋体"/>
          <w:color w:val="auto"/>
          <w:highlight w:val="none"/>
        </w:rPr>
      </w:pPr>
      <w:r>
        <w:rPr>
          <w:rFonts w:hint="eastAsia" w:ascii="宋体" w:hAnsi="宋体"/>
          <w:color w:val="auto"/>
          <w:highlight w:val="none"/>
        </w:rPr>
        <w:t>2、投标人如不提供此声明函，价格将不做相应扣除。</w:t>
      </w:r>
    </w:p>
    <w:p w14:paraId="0FD1F218">
      <w:pPr>
        <w:spacing w:line="312" w:lineRule="auto"/>
        <w:rPr>
          <w:rFonts w:ascii="宋体" w:hAnsi="宋体"/>
          <w:color w:val="auto"/>
          <w:highlight w:val="none"/>
        </w:rPr>
      </w:pPr>
      <w:r>
        <w:rPr>
          <w:rFonts w:hint="eastAsia" w:ascii="宋体" w:hAnsi="宋体"/>
          <w:color w:val="auto"/>
          <w:highlight w:val="none"/>
        </w:rPr>
        <w:t xml:space="preserve">    3、企业声明函请完整填写，中标后将公示。</w:t>
      </w:r>
    </w:p>
    <w:p w14:paraId="6837C7E4">
      <w:pPr>
        <w:spacing w:line="312" w:lineRule="auto"/>
        <w:ind w:firstLine="420"/>
        <w:jc w:val="left"/>
        <w:rPr>
          <w:color w:val="auto"/>
          <w:highlight w:val="none"/>
        </w:rPr>
      </w:pPr>
      <w:r>
        <w:rPr>
          <w:rFonts w:hint="eastAsia"/>
          <w:color w:val="auto"/>
          <w:highlight w:val="none"/>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7C0EB5AF">
      <w:pPr>
        <w:spacing w:line="312" w:lineRule="auto"/>
        <w:ind w:firstLine="420"/>
        <w:jc w:val="left"/>
        <w:rPr>
          <w:color w:val="auto"/>
          <w:highlight w:val="none"/>
        </w:rPr>
      </w:pPr>
      <w:r>
        <w:rPr>
          <w:rFonts w:hint="eastAsia"/>
          <w:color w:val="auto"/>
          <w:highlight w:val="none"/>
        </w:rPr>
        <w:t>5</w:t>
      </w:r>
      <w:r>
        <w:rPr>
          <w:color w:val="auto"/>
          <w:highlight w:val="none"/>
        </w:rPr>
        <w:t>、声明函应涵盖本项目(分包)所有货物，否则价格不作扣除。</w:t>
      </w:r>
    </w:p>
    <w:p w14:paraId="76615EBD">
      <w:pPr>
        <w:spacing w:line="312" w:lineRule="auto"/>
        <w:ind w:firstLine="420"/>
        <w:jc w:val="left"/>
        <w:rPr>
          <w:rFonts w:ascii="宋体" w:hAnsi="宋体"/>
          <w:color w:val="auto"/>
          <w:szCs w:val="21"/>
          <w:highlight w:val="none"/>
        </w:rPr>
      </w:pPr>
      <w:r>
        <w:rPr>
          <w:rFonts w:hint="eastAsia"/>
          <w:color w:val="auto"/>
          <w:highlight w:val="none"/>
        </w:rPr>
        <w:t>6、</w:t>
      </w:r>
      <w:r>
        <w:rPr>
          <w:rFonts w:hint="eastAsia" w:ascii="宋体" w:hAnsi="宋体"/>
          <w:color w:val="auto"/>
          <w:szCs w:val="21"/>
          <w:highlight w:val="none"/>
        </w:rPr>
        <w:t>中小企业不得属于大企业的分支机构，不得存在控股股东为大企业的情形，不得存在与大企业的负责人为同一人的情形。</w:t>
      </w:r>
    </w:p>
    <w:p w14:paraId="4BA171A2">
      <w:pPr>
        <w:spacing w:line="312" w:lineRule="auto"/>
        <w:ind w:firstLine="420"/>
        <w:jc w:val="left"/>
        <w:rPr>
          <w:rFonts w:ascii="宋体" w:hAnsi="宋体"/>
          <w:color w:val="auto"/>
          <w:szCs w:val="21"/>
          <w:highlight w:val="none"/>
        </w:rPr>
      </w:pPr>
      <w:r>
        <w:rPr>
          <w:rFonts w:hint="eastAsia" w:ascii="宋体" w:hAnsi="宋体"/>
          <w:color w:val="auto"/>
          <w:szCs w:val="21"/>
          <w:highlight w:val="none"/>
        </w:rPr>
        <w:t>7、</w:t>
      </w:r>
      <w:r>
        <w:rPr>
          <w:rFonts w:hint="eastAsia" w:ascii="宋体" w:hAnsi="宋体" w:cs="Arial"/>
          <w:bCs/>
          <w:color w:val="auto"/>
          <w:szCs w:val="21"/>
          <w:highlight w:val="none"/>
          <w:shd w:val="clear" w:color="auto" w:fill="FFFFFF"/>
        </w:rPr>
        <w:t>《政府采购法》第七十七条第一款：</w:t>
      </w:r>
      <w:r>
        <w:rPr>
          <w:rFonts w:hint="eastAsia" w:ascii="宋体" w:hAnsi="宋体"/>
          <w:bCs/>
          <w:color w:val="auto"/>
          <w:szCs w:val="21"/>
          <w:highlight w:val="none"/>
          <w:shd w:val="clear" w:color="auto" w:fill="FFFFFF"/>
        </w:rPr>
        <w:t>提供虚假材料谋取中标、成交的</w:t>
      </w:r>
      <w:r>
        <w:rPr>
          <w:rFonts w:hint="eastAsia" w:ascii="宋体" w:hAnsi="宋体" w:cs="Arial"/>
          <w:bCs/>
          <w:color w:val="auto"/>
          <w:szCs w:val="21"/>
          <w:highlight w:val="none"/>
          <w:shd w:val="clear" w:color="auto" w:fill="FFFFFF"/>
        </w:rPr>
        <w:t>，</w:t>
      </w:r>
      <w:r>
        <w:rPr>
          <w:rFonts w:hint="eastAsia" w:ascii="宋体" w:hAnsi="宋体"/>
          <w:bCs/>
          <w:color w:val="auto"/>
          <w:szCs w:val="21"/>
          <w:highlight w:val="none"/>
          <w:shd w:val="clear" w:color="auto" w:fill="FFFFFF"/>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65677713">
      <w:pPr>
        <w:spacing w:line="312" w:lineRule="auto"/>
        <w:ind w:firstLine="5250"/>
        <w:rPr>
          <w:color w:val="auto"/>
          <w:highlight w:val="none"/>
        </w:rPr>
      </w:pPr>
      <w:r>
        <w:rPr>
          <w:rFonts w:hint="eastAsia"/>
          <w:color w:val="auto"/>
          <w:highlight w:val="none"/>
        </w:rPr>
        <w:t>企业名称（盖章）：</w:t>
      </w:r>
    </w:p>
    <w:p w14:paraId="40B5F808">
      <w:pPr>
        <w:spacing w:line="312" w:lineRule="auto"/>
        <w:jc w:val="center"/>
        <w:rPr>
          <w:color w:val="auto"/>
          <w:highlight w:val="none"/>
        </w:rPr>
      </w:pPr>
      <w:r>
        <w:rPr>
          <w:rFonts w:hint="eastAsia"/>
          <w:color w:val="auto"/>
          <w:highlight w:val="none"/>
        </w:rPr>
        <w:t xml:space="preserve">                             日 期：</w:t>
      </w:r>
    </w:p>
    <w:p w14:paraId="7F0F2838">
      <w:pPr>
        <w:spacing w:line="360" w:lineRule="auto"/>
        <w:jc w:val="center"/>
        <w:rPr>
          <w:rStyle w:val="214"/>
          <w:rFonts w:ascii="宋体" w:hAnsi="宋体" w:cs="仿宋"/>
          <w:color w:val="auto"/>
          <w:szCs w:val="21"/>
          <w:highlight w:val="none"/>
        </w:rPr>
      </w:pPr>
      <w:r>
        <w:rPr>
          <w:rStyle w:val="214"/>
          <w:rFonts w:hint="eastAsia" w:ascii="宋体" w:hAnsi="宋体" w:cs="仿宋"/>
          <w:color w:val="auto"/>
          <w:szCs w:val="21"/>
          <w:highlight w:val="none"/>
        </w:rPr>
        <w:br w:type="page" w:clear="all"/>
      </w:r>
      <w:r>
        <w:rPr>
          <w:rStyle w:val="214"/>
          <w:rFonts w:hint="eastAsia" w:ascii="宋体" w:hAnsi="宋体" w:cs="仿宋"/>
          <w:color w:val="auto"/>
          <w:szCs w:val="21"/>
          <w:highlight w:val="none"/>
        </w:rPr>
        <w:t>中小微企业划型标准</w:t>
      </w:r>
    </w:p>
    <w:p w14:paraId="2F77002F">
      <w:pPr>
        <w:pStyle w:val="208"/>
        <w:widowControl/>
        <w:spacing w:before="300" w:after="452" w:line="360" w:lineRule="auto"/>
        <w:ind w:firstLine="420"/>
        <w:rPr>
          <w:rStyle w:val="214"/>
          <w:rFonts w:ascii="宋体" w:hAnsi="宋体" w:cs="仿宋"/>
          <w:color w:val="auto"/>
          <w:sz w:val="21"/>
          <w:szCs w:val="21"/>
          <w:highlight w:val="none"/>
        </w:rPr>
      </w:pPr>
      <w:r>
        <w:rPr>
          <w:rFonts w:hint="eastAsia" w:ascii="宋体" w:hAnsi="宋体" w:cs="仿宋"/>
          <w:color w:val="auto"/>
          <w:sz w:val="21"/>
          <w:szCs w:val="21"/>
          <w:highlight w:val="none"/>
        </w:rPr>
        <w:t>    </w:t>
      </w:r>
      <w:r>
        <w:rPr>
          <w:rStyle w:val="214"/>
          <w:rFonts w:hint="eastAsia" w:ascii="宋体" w:hAnsi="宋体" w:cs="仿宋"/>
          <w:color w:val="auto"/>
          <w:sz w:val="21"/>
          <w:szCs w:val="21"/>
          <w:highlight w:val="none"/>
        </w:rPr>
        <w:t>中小微企业划型标准如下：</w:t>
      </w:r>
    </w:p>
    <w:tbl>
      <w:tblPr>
        <w:tblStyle w:val="38"/>
        <w:tblW w:w="931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1446"/>
        <w:gridCol w:w="1739"/>
        <w:gridCol w:w="835"/>
        <w:gridCol w:w="2089"/>
        <w:gridCol w:w="1709"/>
        <w:gridCol w:w="1500"/>
      </w:tblGrid>
      <w:tr w14:paraId="7A315E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blCellSpacing w:w="15" w:type="dxa"/>
        </w:trPr>
        <w:tc>
          <w:tcPr>
            <w:tcW w:w="1401" w:type="dxa"/>
            <w:tcBorders>
              <w:top w:val="single" w:color="000000" w:sz="6" w:space="0"/>
              <w:left w:val="single" w:color="000000" w:sz="6" w:space="0"/>
              <w:bottom w:val="single" w:color="000000" w:sz="6" w:space="0"/>
              <w:right w:val="single" w:color="000000" w:sz="6" w:space="0"/>
            </w:tcBorders>
            <w:noWrap w:val="0"/>
            <w:tcMar>
              <w:top w:w="0" w:type="dxa"/>
              <w:left w:w="105" w:type="dxa"/>
              <w:bottom w:w="0" w:type="dxa"/>
              <w:right w:w="105" w:type="dxa"/>
            </w:tcMar>
            <w:vAlign w:val="center"/>
          </w:tcPr>
          <w:p w14:paraId="1A2A9FF4">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行业名称</w:t>
            </w:r>
          </w:p>
        </w:tc>
        <w:tc>
          <w:tcPr>
            <w:tcW w:w="170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4F208E6C">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指标名称</w:t>
            </w:r>
          </w:p>
        </w:tc>
        <w:tc>
          <w:tcPr>
            <w:tcW w:w="80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22F2875A">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计量单位</w:t>
            </w:r>
          </w:p>
        </w:tc>
        <w:tc>
          <w:tcPr>
            <w:tcW w:w="205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7FA57A5A">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中型</w:t>
            </w:r>
          </w:p>
        </w:tc>
        <w:tc>
          <w:tcPr>
            <w:tcW w:w="167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4782AACF">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小型</w:t>
            </w:r>
          </w:p>
        </w:tc>
        <w:tc>
          <w:tcPr>
            <w:tcW w:w="145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6F4BD9C4">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微型</w:t>
            </w:r>
          </w:p>
        </w:tc>
      </w:tr>
      <w:tr w14:paraId="34DE589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5872F4F0">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3BE0A9">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97978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342693">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B5A71F">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916AB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Y＜50</w:t>
            </w:r>
          </w:p>
        </w:tc>
      </w:tr>
      <w:tr w14:paraId="6BEEFD2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3B9EF4D0">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5EF4D4">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1E7EC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CEF2A7">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FA3103">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49C8F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X＜20</w:t>
            </w:r>
          </w:p>
        </w:tc>
      </w:tr>
      <w:tr w14:paraId="568B4A3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072E1956">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A3AFFD">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34EDC3">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11680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B1111D">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89BD1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Y＜300</w:t>
            </w:r>
          </w:p>
        </w:tc>
      </w:tr>
      <w:tr w14:paraId="4BF311F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00BE667">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25DA120">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E768F5">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6688BE1">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17763F">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78DB14">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Y＜300</w:t>
            </w:r>
          </w:p>
        </w:tc>
      </w:tr>
      <w:tr w14:paraId="739B48A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D652704">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6CED7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FFEF04">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7C7E8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477404">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02D8310">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Z＜300</w:t>
            </w:r>
          </w:p>
        </w:tc>
      </w:tr>
      <w:tr w14:paraId="66B3CE1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212296B">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8B608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B5A0B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7244E2B">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E7AC0B">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BE30A6">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X＜5</w:t>
            </w:r>
          </w:p>
        </w:tc>
      </w:tr>
      <w:tr w14:paraId="7BFB9F1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BA1D545">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727960">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5804B76">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F2D2A0">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F4A1C1">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0BAD15">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Y＜1000</w:t>
            </w:r>
          </w:p>
        </w:tc>
      </w:tr>
      <w:tr w14:paraId="3AF8D69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FD163EB">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B60C53">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5CA62C">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1B155E">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260A57">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119113">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X＜10</w:t>
            </w:r>
          </w:p>
        </w:tc>
      </w:tr>
      <w:tr w14:paraId="3BD6DE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0BC13BC">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6E79CED">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4368911">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828189">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3C74E9">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E2846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Y＜100</w:t>
            </w:r>
          </w:p>
        </w:tc>
      </w:tr>
      <w:tr w14:paraId="5E3B6A4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A4BA1B4">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C63CB1">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31B3B3">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9BCB28">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022EC2">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DB166B">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X＜20</w:t>
            </w:r>
          </w:p>
        </w:tc>
      </w:tr>
      <w:tr w14:paraId="07D2981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1B455F86">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702B17">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8E9FBA">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9531D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80830B">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7454CB">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Y＜200</w:t>
            </w:r>
          </w:p>
        </w:tc>
      </w:tr>
      <w:tr w14:paraId="73074E3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1EF82048">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7005D5">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CE978B">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6F488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2B750F">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B2E0C6">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X＜20</w:t>
            </w:r>
          </w:p>
        </w:tc>
      </w:tr>
      <w:tr w14:paraId="077E3D6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A1B5B2A">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444C84">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FC3927">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4A14DC">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254424">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09A588">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Y＜100</w:t>
            </w:r>
          </w:p>
        </w:tc>
      </w:tr>
      <w:tr w14:paraId="7A7C22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026AE661">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F4CB95">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06F1B4">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88D6E5">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B61A55">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36D92D">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X＜20</w:t>
            </w:r>
          </w:p>
        </w:tc>
      </w:tr>
      <w:tr w14:paraId="722BEB6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0952382">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5AD4F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DAC1B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C98A35">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054CF5">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2E4358">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Y＜100</w:t>
            </w:r>
          </w:p>
        </w:tc>
      </w:tr>
      <w:tr w14:paraId="56FFABA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28E7F4C4">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94CDE8">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14E5F0">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E0DB2E">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526398">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B33A7D">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X＜10</w:t>
            </w:r>
          </w:p>
        </w:tc>
      </w:tr>
      <w:tr w14:paraId="1E016F6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411FDFC1">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5CACB7">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D91E5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421E8A">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671A60">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7FEE4A">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Y＜100</w:t>
            </w:r>
          </w:p>
        </w:tc>
      </w:tr>
      <w:tr w14:paraId="3CFBCA7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E73857C">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E6A106">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47BDBB">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F84C534">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EE877F">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22ABE1">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X＜10</w:t>
            </w:r>
          </w:p>
        </w:tc>
      </w:tr>
      <w:tr w14:paraId="1CC5115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1D29784">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14A57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6A4C5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C129B6">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64ACDF">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EB6B7E">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Y＜100</w:t>
            </w:r>
          </w:p>
        </w:tc>
      </w:tr>
      <w:tr w14:paraId="5347D8E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788160A4">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C2BBAD">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EAB9AD">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AD5D9D">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DC9826">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4D236A">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X＜10</w:t>
            </w:r>
          </w:p>
        </w:tc>
      </w:tr>
      <w:tr w14:paraId="132F53C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130776E">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12163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971DC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58A8E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542A35">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342A9E">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Y＜100</w:t>
            </w:r>
          </w:p>
        </w:tc>
      </w:tr>
      <w:tr w14:paraId="387BCDE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14A383A">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AA0380">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F65025">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EFFDD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D9EF78">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B7317B">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X＜10</w:t>
            </w:r>
          </w:p>
        </w:tc>
      </w:tr>
      <w:tr w14:paraId="1BC0A9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463F91FD">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E6760E">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A2D758">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6C0529">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586553A">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3A36D6">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Y＜50</w:t>
            </w:r>
          </w:p>
        </w:tc>
      </w:tr>
      <w:tr w14:paraId="6807299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37C7DEC0">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CE9B9E">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43F2D3">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4D4175">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C272F1">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C283A3">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X＜100</w:t>
            </w:r>
          </w:p>
        </w:tc>
      </w:tr>
      <w:tr w14:paraId="6E10FB9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1C96171A">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DA2982">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B48CDA">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FC38A1">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0562C3">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1D66DD">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Y＜2000</w:t>
            </w:r>
          </w:p>
        </w:tc>
      </w:tr>
      <w:tr w14:paraId="2E1F47E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C22ECFE">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04046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0FA52B">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C437DB">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9F35EF0">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0884E7">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X＜100</w:t>
            </w:r>
          </w:p>
        </w:tc>
      </w:tr>
      <w:tr w14:paraId="1B81F9D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FA03788">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DC3648">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352376">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372F71">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0C79A5E">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4415A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Y＜500</w:t>
            </w:r>
          </w:p>
        </w:tc>
      </w:tr>
      <w:tr w14:paraId="1345E3D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3ECCF3F1">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60C228">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DB38B6">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928DEB">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CDA07C">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84A533">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X＜10</w:t>
            </w:r>
          </w:p>
        </w:tc>
      </w:tr>
      <w:tr w14:paraId="5134C9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18C7A99C">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C041ED">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222046">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E5EB56">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916E8E">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9EA37F">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Y＜100</w:t>
            </w:r>
          </w:p>
        </w:tc>
      </w:tr>
      <w:tr w14:paraId="2DC1089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3C1E0F75">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310FD9">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9DA848">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393F269">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0D5FFE">
            <w:pPr>
              <w:pStyle w:val="208"/>
              <w:widowControl/>
              <w:jc w:val="center"/>
              <w:rPr>
                <w:rFonts w:ascii="宋体" w:hAnsi="宋体"/>
                <w:color w:val="auto"/>
                <w:sz w:val="21"/>
                <w:szCs w:val="21"/>
                <w:highlight w:val="none"/>
              </w:rPr>
            </w:pPr>
            <w:r>
              <w:rPr>
                <w:rStyle w:val="214"/>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79B3DD">
            <w:pPr>
              <w:pStyle w:val="208"/>
              <w:widowControl/>
              <w:rPr>
                <w:rFonts w:ascii="宋体" w:hAnsi="宋体"/>
                <w:color w:val="auto"/>
                <w:sz w:val="21"/>
                <w:szCs w:val="21"/>
                <w:highlight w:val="none"/>
              </w:rPr>
            </w:pPr>
            <w:r>
              <w:rPr>
                <w:rStyle w:val="214"/>
                <w:rFonts w:hint="eastAsia" w:ascii="宋体" w:hAnsi="宋体" w:cs="仿宋"/>
                <w:color w:val="auto"/>
                <w:sz w:val="21"/>
                <w:szCs w:val="21"/>
                <w:highlight w:val="none"/>
              </w:rPr>
              <w:t>X＜10</w:t>
            </w:r>
          </w:p>
        </w:tc>
      </w:tr>
    </w:tbl>
    <w:p w14:paraId="45632354">
      <w:pPr>
        <w:pStyle w:val="208"/>
        <w:widowControl/>
        <w:spacing w:before="300" w:after="452" w:line="360" w:lineRule="auto"/>
        <w:ind w:firstLine="810"/>
        <w:rPr>
          <w:rStyle w:val="214"/>
          <w:rFonts w:ascii="宋体" w:hAnsi="宋体" w:cs="仿宋"/>
          <w:color w:val="auto"/>
          <w:sz w:val="21"/>
          <w:szCs w:val="21"/>
          <w:highlight w:val="none"/>
        </w:rPr>
      </w:pPr>
      <w:r>
        <w:rPr>
          <w:rStyle w:val="214"/>
          <w:rFonts w:hint="eastAsia" w:ascii="宋体" w:hAnsi="宋体" w:cs="仿宋"/>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1406CC3D">
      <w:pPr>
        <w:rPr>
          <w:rFonts w:hint="eastAsia" w:ascii="宋体" w:hAnsi="宋体" w:eastAsia="宋体"/>
          <w:color w:val="auto"/>
          <w:sz w:val="32"/>
          <w:highlight w:val="none"/>
        </w:rPr>
      </w:pPr>
      <w:r>
        <w:rPr>
          <w:rFonts w:hint="eastAsia" w:ascii="宋体" w:hAnsi="宋体" w:eastAsia="宋体"/>
          <w:color w:val="auto"/>
          <w:sz w:val="32"/>
          <w:highlight w:val="none"/>
        </w:rPr>
        <w:br w:type="page"/>
      </w:r>
    </w:p>
    <w:p w14:paraId="134DBA16">
      <w:pPr>
        <w:pStyle w:val="194"/>
        <w:spacing w:line="360" w:lineRule="auto"/>
        <w:rPr>
          <w:rFonts w:ascii="宋体" w:hAnsi="宋体" w:eastAsia="宋体"/>
          <w:color w:val="auto"/>
          <w:sz w:val="32"/>
          <w:highlight w:val="none"/>
        </w:rPr>
      </w:pPr>
      <w:r>
        <w:rPr>
          <w:rFonts w:hint="eastAsia" w:ascii="宋体" w:hAnsi="宋体" w:eastAsia="宋体"/>
          <w:color w:val="auto"/>
          <w:sz w:val="32"/>
          <w:highlight w:val="none"/>
        </w:rPr>
        <w:t>三、非实质性响应对照表</w:t>
      </w:r>
      <w:bookmarkEnd w:id="73"/>
    </w:p>
    <w:p w14:paraId="0AEE0156">
      <w:pPr>
        <w:spacing w:line="360" w:lineRule="auto"/>
        <w:rPr>
          <w:rFonts w:ascii="宋体" w:hAnsi="宋体"/>
          <w:b/>
          <w:color w:val="auto"/>
          <w:sz w:val="32"/>
          <w:szCs w:val="32"/>
          <w:highlight w:val="none"/>
        </w:rPr>
      </w:pPr>
    </w:p>
    <w:tbl>
      <w:tblPr>
        <w:tblStyle w:val="38"/>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5C267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188078B2">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序号</w:t>
            </w:r>
          </w:p>
        </w:tc>
        <w:tc>
          <w:tcPr>
            <w:tcW w:w="5447" w:type="dxa"/>
            <w:noWrap w:val="0"/>
            <w:vAlign w:val="center"/>
          </w:tcPr>
          <w:p w14:paraId="5ACF890D">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非实质性响应内容</w:t>
            </w:r>
          </w:p>
        </w:tc>
        <w:tc>
          <w:tcPr>
            <w:tcW w:w="1680" w:type="dxa"/>
            <w:noWrap w:val="0"/>
            <w:vAlign w:val="center"/>
          </w:tcPr>
          <w:p w14:paraId="1FF7F1C2">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是否响应</w:t>
            </w:r>
          </w:p>
          <w:p w14:paraId="10E4FAF6">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（填是或者否）</w:t>
            </w:r>
          </w:p>
        </w:tc>
        <w:tc>
          <w:tcPr>
            <w:tcW w:w="1308" w:type="dxa"/>
            <w:noWrap w:val="0"/>
            <w:vAlign w:val="center"/>
          </w:tcPr>
          <w:p w14:paraId="05A86C0F">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响应情况</w:t>
            </w:r>
          </w:p>
        </w:tc>
      </w:tr>
      <w:tr w14:paraId="79433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542ECCD7">
            <w:pPr>
              <w:spacing w:line="360" w:lineRule="auto"/>
              <w:jc w:val="center"/>
              <w:rPr>
                <w:rFonts w:ascii="宋体" w:hAnsi="宋体"/>
                <w:b/>
                <w:color w:val="auto"/>
                <w:szCs w:val="21"/>
                <w:highlight w:val="none"/>
              </w:rPr>
            </w:pPr>
            <w:r>
              <w:rPr>
                <w:rFonts w:hint="eastAsia" w:ascii="宋体" w:hAnsi="宋体"/>
                <w:color w:val="auto"/>
                <w:szCs w:val="21"/>
                <w:highlight w:val="none"/>
              </w:rPr>
              <w:t>1</w:t>
            </w:r>
          </w:p>
        </w:tc>
        <w:tc>
          <w:tcPr>
            <w:tcW w:w="5447" w:type="dxa"/>
            <w:shd w:val="clear" w:color="auto" w:fill="auto"/>
            <w:noWrap w:val="0"/>
            <w:vAlign w:val="center"/>
          </w:tcPr>
          <w:p w14:paraId="375A5936">
            <w:pPr>
              <w:spacing w:line="360" w:lineRule="auto"/>
              <w:rPr>
                <w:rFonts w:hint="default" w:ascii="宋体" w:hAnsi="宋体" w:eastAsia="宋体" w:cs="Times New Roman"/>
                <w:iCs/>
                <w:color w:val="auto"/>
                <w:sz w:val="21"/>
                <w:szCs w:val="21"/>
                <w:highlight w:val="none"/>
                <w:lang w:val="en-US" w:eastAsia="zh-CN" w:bidi="ar-SA"/>
              </w:rPr>
            </w:pPr>
            <w:r>
              <w:rPr>
                <w:rFonts w:hint="eastAsia" w:ascii="宋体" w:hAnsi="宋体"/>
                <w:color w:val="auto"/>
                <w:szCs w:val="21"/>
                <w:highlight w:val="none"/>
              </w:rPr>
              <w:t>《残疾人福利性单位声明函》</w:t>
            </w:r>
          </w:p>
        </w:tc>
        <w:tc>
          <w:tcPr>
            <w:tcW w:w="1680" w:type="dxa"/>
            <w:noWrap w:val="0"/>
            <w:vAlign w:val="center"/>
          </w:tcPr>
          <w:p w14:paraId="0715E0C0">
            <w:pPr>
              <w:spacing w:line="360" w:lineRule="auto"/>
              <w:rPr>
                <w:rFonts w:ascii="宋体" w:hAnsi="宋体"/>
                <w:b/>
                <w:color w:val="auto"/>
                <w:szCs w:val="21"/>
                <w:highlight w:val="none"/>
              </w:rPr>
            </w:pPr>
          </w:p>
        </w:tc>
        <w:tc>
          <w:tcPr>
            <w:tcW w:w="1308" w:type="dxa"/>
            <w:noWrap w:val="0"/>
            <w:vAlign w:val="center"/>
          </w:tcPr>
          <w:p w14:paraId="74085CB3">
            <w:pPr>
              <w:spacing w:line="360" w:lineRule="auto"/>
              <w:rPr>
                <w:rFonts w:ascii="宋体" w:hAnsi="宋体"/>
                <w:b/>
                <w:color w:val="auto"/>
                <w:szCs w:val="21"/>
                <w:highlight w:val="none"/>
              </w:rPr>
            </w:pPr>
          </w:p>
        </w:tc>
      </w:tr>
      <w:tr w14:paraId="1E059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45BB055F">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5447" w:type="dxa"/>
            <w:shd w:val="clear" w:color="auto" w:fill="auto"/>
            <w:noWrap w:val="0"/>
            <w:vAlign w:val="center"/>
          </w:tcPr>
          <w:p w14:paraId="0EE52063">
            <w:pPr>
              <w:spacing w:line="360" w:lineRule="auto"/>
              <w:rPr>
                <w:rFonts w:hint="default" w:ascii="宋体" w:hAnsi="宋体" w:eastAsia="宋体" w:cs="Times New Roman"/>
                <w:iCs/>
                <w:color w:val="auto"/>
                <w:sz w:val="21"/>
                <w:szCs w:val="21"/>
                <w:highlight w:val="none"/>
                <w:lang w:val="en-US" w:eastAsia="zh-CN" w:bidi="ar-SA"/>
              </w:rPr>
            </w:pPr>
            <w:r>
              <w:rPr>
                <w:rFonts w:ascii="宋体" w:hAnsi="宋体"/>
                <w:iCs/>
                <w:color w:val="auto"/>
                <w:szCs w:val="21"/>
                <w:highlight w:val="none"/>
              </w:rPr>
              <w:t>……</w:t>
            </w:r>
          </w:p>
        </w:tc>
        <w:tc>
          <w:tcPr>
            <w:tcW w:w="1680" w:type="dxa"/>
            <w:noWrap w:val="0"/>
            <w:vAlign w:val="center"/>
          </w:tcPr>
          <w:p w14:paraId="4D06602D">
            <w:pPr>
              <w:spacing w:line="360" w:lineRule="auto"/>
              <w:rPr>
                <w:rFonts w:ascii="宋体" w:hAnsi="宋体"/>
                <w:color w:val="auto"/>
                <w:szCs w:val="21"/>
                <w:highlight w:val="none"/>
              </w:rPr>
            </w:pPr>
          </w:p>
        </w:tc>
        <w:tc>
          <w:tcPr>
            <w:tcW w:w="1308" w:type="dxa"/>
            <w:noWrap w:val="0"/>
            <w:vAlign w:val="center"/>
          </w:tcPr>
          <w:p w14:paraId="29249B23">
            <w:pPr>
              <w:spacing w:line="360" w:lineRule="auto"/>
              <w:rPr>
                <w:rFonts w:ascii="宋体" w:hAnsi="宋体"/>
                <w:color w:val="auto"/>
                <w:szCs w:val="21"/>
                <w:highlight w:val="none"/>
              </w:rPr>
            </w:pPr>
          </w:p>
        </w:tc>
      </w:tr>
    </w:tbl>
    <w:p w14:paraId="48CC3695">
      <w:pPr>
        <w:spacing w:line="360" w:lineRule="auto"/>
        <w:contextualSpacing/>
        <w:jc w:val="center"/>
        <w:rPr>
          <w:rFonts w:ascii="宋体" w:hAnsi="宋体"/>
          <w:b/>
          <w:bCs/>
          <w:color w:val="auto"/>
          <w:sz w:val="32"/>
          <w:szCs w:val="32"/>
          <w:highlight w:val="none"/>
        </w:rPr>
      </w:pPr>
    </w:p>
    <w:p w14:paraId="6C8ED9BC">
      <w:pPr>
        <w:spacing w:line="360" w:lineRule="auto"/>
        <w:contextualSpacing/>
        <w:jc w:val="center"/>
        <w:rPr>
          <w:rFonts w:ascii="宋体" w:hAnsi="宋体"/>
          <w:b/>
          <w:bCs/>
          <w:color w:val="auto"/>
          <w:sz w:val="32"/>
          <w:szCs w:val="32"/>
          <w:highlight w:val="none"/>
        </w:rPr>
      </w:pPr>
    </w:p>
    <w:p w14:paraId="3C2FBD0F">
      <w:pPr>
        <w:spacing w:line="360" w:lineRule="auto"/>
        <w:rPr>
          <w:color w:val="auto"/>
          <w:highlight w:val="none"/>
        </w:rPr>
      </w:pPr>
    </w:p>
    <w:p w14:paraId="1AA2D8CB">
      <w:pPr>
        <w:widowControl/>
        <w:spacing w:line="360" w:lineRule="auto"/>
        <w:jc w:val="left"/>
        <w:rPr>
          <w:rFonts w:ascii="宋体" w:hAnsi="宋体" w:cs="Arial"/>
          <w:b/>
          <w:bCs/>
          <w:color w:val="auto"/>
          <w:highlight w:val="none"/>
        </w:rPr>
      </w:pPr>
    </w:p>
    <w:p w14:paraId="170F25ED">
      <w:pPr>
        <w:widowControl/>
        <w:spacing w:line="360" w:lineRule="auto"/>
        <w:jc w:val="left"/>
        <w:rPr>
          <w:rFonts w:ascii="宋体" w:hAnsi="宋体" w:cs="Arial"/>
          <w:b/>
          <w:bCs/>
          <w:color w:val="auto"/>
          <w:highlight w:val="none"/>
        </w:rPr>
      </w:pPr>
    </w:p>
    <w:p w14:paraId="7B7CDF92">
      <w:pPr>
        <w:widowControl/>
        <w:spacing w:line="360" w:lineRule="auto"/>
        <w:jc w:val="left"/>
        <w:rPr>
          <w:rFonts w:ascii="宋体" w:hAnsi="宋体" w:cs="Arial"/>
          <w:b/>
          <w:bCs/>
          <w:color w:val="auto"/>
          <w:highlight w:val="none"/>
        </w:rPr>
      </w:pPr>
    </w:p>
    <w:p w14:paraId="5909519B">
      <w:pPr>
        <w:widowControl/>
        <w:spacing w:line="360" w:lineRule="auto"/>
        <w:jc w:val="left"/>
        <w:rPr>
          <w:rFonts w:ascii="宋体" w:hAnsi="宋体" w:cs="Arial"/>
          <w:b/>
          <w:bCs/>
          <w:color w:val="auto"/>
          <w:highlight w:val="none"/>
        </w:rPr>
      </w:pPr>
    </w:p>
    <w:p w14:paraId="09410A4D">
      <w:pPr>
        <w:widowControl/>
        <w:spacing w:line="360" w:lineRule="auto"/>
        <w:jc w:val="left"/>
        <w:rPr>
          <w:rFonts w:ascii="宋体" w:hAnsi="宋体" w:cs="Arial"/>
          <w:b/>
          <w:bCs/>
          <w:color w:val="auto"/>
          <w:highlight w:val="none"/>
        </w:rPr>
      </w:pPr>
    </w:p>
    <w:p w14:paraId="4324EC7B">
      <w:pPr>
        <w:widowControl/>
        <w:spacing w:line="360" w:lineRule="auto"/>
        <w:jc w:val="left"/>
        <w:rPr>
          <w:rFonts w:ascii="宋体" w:hAnsi="宋体" w:cs="Arial"/>
          <w:b/>
          <w:bCs/>
          <w:color w:val="auto"/>
          <w:highlight w:val="none"/>
        </w:rPr>
      </w:pPr>
    </w:p>
    <w:p w14:paraId="5BB5F91D">
      <w:pPr>
        <w:widowControl/>
        <w:spacing w:line="360" w:lineRule="auto"/>
        <w:jc w:val="left"/>
        <w:rPr>
          <w:rFonts w:ascii="宋体" w:hAnsi="宋体" w:cs="Arial"/>
          <w:b/>
          <w:bCs/>
          <w:color w:val="auto"/>
          <w:highlight w:val="none"/>
        </w:rPr>
      </w:pPr>
    </w:p>
    <w:p w14:paraId="1AA807D5">
      <w:pPr>
        <w:widowControl/>
        <w:spacing w:line="360" w:lineRule="auto"/>
        <w:jc w:val="left"/>
        <w:rPr>
          <w:rFonts w:ascii="宋体" w:hAnsi="宋体" w:cs="Arial"/>
          <w:b/>
          <w:bCs/>
          <w:color w:val="auto"/>
          <w:highlight w:val="none"/>
        </w:rPr>
      </w:pPr>
    </w:p>
    <w:p w14:paraId="03902AE5">
      <w:pPr>
        <w:widowControl/>
        <w:spacing w:line="360" w:lineRule="auto"/>
        <w:jc w:val="left"/>
        <w:rPr>
          <w:rFonts w:ascii="宋体" w:hAnsi="宋体" w:cs="Arial"/>
          <w:b/>
          <w:bCs/>
          <w:color w:val="auto"/>
          <w:highlight w:val="none"/>
        </w:rPr>
      </w:pPr>
    </w:p>
    <w:p w14:paraId="594C0798">
      <w:pPr>
        <w:widowControl/>
        <w:spacing w:line="360" w:lineRule="auto"/>
        <w:jc w:val="left"/>
        <w:rPr>
          <w:rFonts w:ascii="宋体" w:hAnsi="宋体" w:cs="Arial"/>
          <w:b/>
          <w:bCs/>
          <w:color w:val="auto"/>
          <w:highlight w:val="none"/>
        </w:rPr>
      </w:pPr>
    </w:p>
    <w:p w14:paraId="7FC4B71C">
      <w:pPr>
        <w:widowControl/>
        <w:spacing w:line="360" w:lineRule="auto"/>
        <w:jc w:val="left"/>
        <w:rPr>
          <w:rFonts w:ascii="宋体" w:hAnsi="宋体" w:cs="Arial"/>
          <w:b/>
          <w:bCs/>
          <w:color w:val="auto"/>
          <w:highlight w:val="none"/>
        </w:rPr>
      </w:pPr>
    </w:p>
    <w:p w14:paraId="09CB4861">
      <w:pPr>
        <w:widowControl/>
        <w:spacing w:line="360" w:lineRule="auto"/>
        <w:jc w:val="left"/>
        <w:rPr>
          <w:rFonts w:ascii="宋体" w:hAnsi="宋体" w:cs="Arial"/>
          <w:b/>
          <w:bCs/>
          <w:color w:val="auto"/>
          <w:highlight w:val="none"/>
        </w:rPr>
      </w:pPr>
    </w:p>
    <w:p w14:paraId="54BE0522">
      <w:pPr>
        <w:widowControl/>
        <w:spacing w:line="360" w:lineRule="auto"/>
        <w:jc w:val="left"/>
        <w:rPr>
          <w:rFonts w:ascii="宋体" w:hAnsi="宋体" w:cs="Arial"/>
          <w:b/>
          <w:bCs/>
          <w:color w:val="auto"/>
          <w:highlight w:val="none"/>
        </w:rPr>
      </w:pPr>
    </w:p>
    <w:p w14:paraId="29066B64">
      <w:pPr>
        <w:widowControl/>
        <w:spacing w:line="360" w:lineRule="auto"/>
        <w:jc w:val="left"/>
        <w:rPr>
          <w:rFonts w:ascii="宋体" w:hAnsi="宋体" w:cs="Arial"/>
          <w:b/>
          <w:bCs/>
          <w:color w:val="auto"/>
          <w:highlight w:val="none"/>
        </w:rPr>
      </w:pPr>
    </w:p>
    <w:p w14:paraId="69312732">
      <w:pPr>
        <w:widowControl/>
        <w:spacing w:line="360" w:lineRule="auto"/>
        <w:jc w:val="left"/>
        <w:rPr>
          <w:rFonts w:ascii="宋体" w:hAnsi="宋体" w:cs="Arial"/>
          <w:b/>
          <w:bCs/>
          <w:color w:val="auto"/>
          <w:highlight w:val="none"/>
        </w:rPr>
      </w:pPr>
    </w:p>
    <w:p w14:paraId="214C8F96">
      <w:pPr>
        <w:widowControl/>
        <w:spacing w:line="360" w:lineRule="auto"/>
        <w:jc w:val="left"/>
        <w:rPr>
          <w:rFonts w:ascii="宋体" w:hAnsi="宋体" w:cs="Arial"/>
          <w:b/>
          <w:bCs/>
          <w:color w:val="auto"/>
          <w:highlight w:val="none"/>
        </w:rPr>
      </w:pPr>
    </w:p>
    <w:p w14:paraId="6EA2BD25">
      <w:pPr>
        <w:rPr>
          <w:b/>
          <w:bCs/>
          <w:color w:val="auto"/>
          <w:highlight w:val="none"/>
        </w:rPr>
      </w:pPr>
      <w:r>
        <w:rPr>
          <w:rFonts w:hint="eastAsia"/>
          <w:b/>
          <w:bCs/>
          <w:color w:val="auto"/>
          <w:highlight w:val="none"/>
        </w:rPr>
        <w:br w:type="page" w:clear="all"/>
      </w:r>
    </w:p>
    <w:p w14:paraId="5DA044C8">
      <w:pPr>
        <w:pStyle w:val="196"/>
        <w:spacing w:line="360" w:lineRule="auto"/>
        <w:jc w:val="center"/>
        <w:rPr>
          <w:rFonts w:ascii="宋体" w:hAnsi="宋体"/>
          <w:color w:val="auto"/>
          <w:highlight w:val="none"/>
        </w:rPr>
      </w:pPr>
      <w:bookmarkStart w:id="74" w:name="_Toc28390"/>
      <w:r>
        <w:rPr>
          <w:rFonts w:hint="eastAsia" w:ascii="宋体" w:hAnsi="宋体"/>
          <w:color w:val="auto"/>
          <w:sz w:val="21"/>
          <w:szCs w:val="21"/>
          <w:highlight w:val="none"/>
        </w:rPr>
        <w:t>残疾人福利性单位声明函</w:t>
      </w:r>
      <w:bookmarkEnd w:id="74"/>
    </w:p>
    <w:p w14:paraId="07C0CA54">
      <w:pPr>
        <w:spacing w:line="360" w:lineRule="auto"/>
        <w:ind w:firstLine="624"/>
        <w:rPr>
          <w:rFonts w:ascii="仿宋_GB2312" w:eastAsia="仿宋_GB2312"/>
          <w:color w:val="auto"/>
          <w:spacing w:val="6"/>
          <w:sz w:val="30"/>
          <w:szCs w:val="30"/>
          <w:highlight w:val="none"/>
        </w:rPr>
      </w:pPr>
    </w:p>
    <w:p w14:paraId="60ED1D70">
      <w:pPr>
        <w:spacing w:line="360" w:lineRule="auto"/>
        <w:ind w:firstLine="420"/>
        <w:rPr>
          <w:rFonts w:ascii="宋体" w:hAnsi="宋体"/>
          <w:color w:val="auto"/>
          <w:szCs w:val="21"/>
          <w:highlight w:val="none"/>
        </w:rPr>
      </w:pPr>
      <w:r>
        <w:rPr>
          <w:rFonts w:hint="eastAsia" w:ascii="宋体" w:hAnsi="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6B623823">
      <w:pPr>
        <w:spacing w:line="360" w:lineRule="auto"/>
        <w:ind w:firstLine="420"/>
        <w:rPr>
          <w:rFonts w:ascii="宋体" w:hAnsi="宋体"/>
          <w:color w:val="auto"/>
          <w:szCs w:val="21"/>
          <w:highlight w:val="none"/>
        </w:rPr>
      </w:pPr>
      <w:r>
        <w:rPr>
          <w:rFonts w:hint="eastAsia" w:ascii="宋体" w:hAnsi="宋体"/>
          <w:color w:val="auto"/>
          <w:szCs w:val="21"/>
          <w:highlight w:val="none"/>
        </w:rPr>
        <w:t>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圆整（￥：     ）。</w:t>
      </w:r>
    </w:p>
    <w:p w14:paraId="03CA5F67">
      <w:pPr>
        <w:spacing w:line="360" w:lineRule="auto"/>
        <w:ind w:firstLine="420"/>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1972BD84">
      <w:pPr>
        <w:spacing w:line="360" w:lineRule="auto"/>
        <w:ind w:firstLine="420"/>
        <w:rPr>
          <w:rFonts w:ascii="宋体" w:hAnsi="宋体"/>
          <w:color w:val="auto"/>
          <w:szCs w:val="21"/>
          <w:highlight w:val="none"/>
        </w:rPr>
      </w:pPr>
    </w:p>
    <w:p w14:paraId="067C76DC">
      <w:pPr>
        <w:spacing w:line="360" w:lineRule="auto"/>
        <w:ind w:firstLine="420"/>
        <w:rPr>
          <w:rFonts w:ascii="宋体" w:hAnsi="宋体"/>
          <w:color w:val="auto"/>
          <w:szCs w:val="21"/>
          <w:highlight w:val="none"/>
        </w:rPr>
      </w:pPr>
      <w:r>
        <w:rPr>
          <w:rFonts w:hint="eastAsia" w:ascii="宋体" w:hAnsi="宋体"/>
          <w:color w:val="auto"/>
          <w:szCs w:val="21"/>
          <w:highlight w:val="none"/>
        </w:rPr>
        <w:t>（备注：1、投标人如不提供此声明函，价格将不做相应扣除。2、中标投标人为残疾人福利单位的，此声明函将随中标结果同时公告，接受社会监督）</w:t>
      </w:r>
    </w:p>
    <w:p w14:paraId="002C8CF2">
      <w:pPr>
        <w:spacing w:line="360" w:lineRule="auto"/>
        <w:ind w:firstLine="444"/>
        <w:rPr>
          <w:rFonts w:ascii="仿宋_GB2312" w:eastAsia="仿宋_GB2312"/>
          <w:color w:val="auto"/>
          <w:spacing w:val="6"/>
          <w:szCs w:val="21"/>
          <w:highlight w:val="none"/>
        </w:rPr>
      </w:pPr>
    </w:p>
    <w:p w14:paraId="33CB5DD7">
      <w:pPr>
        <w:tabs>
          <w:tab w:val="left" w:pos="4860"/>
        </w:tabs>
        <w:spacing w:line="360" w:lineRule="auto"/>
        <w:ind w:right="1560" w:firstLine="444"/>
        <w:jc w:val="center"/>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投标人全称（盖章）：</w:t>
      </w:r>
    </w:p>
    <w:p w14:paraId="1F0115F2">
      <w:pPr>
        <w:tabs>
          <w:tab w:val="left" w:pos="4860"/>
        </w:tabs>
        <w:spacing w:line="360" w:lineRule="auto"/>
        <w:ind w:right="1560" w:firstLine="420"/>
        <w:jc w:val="center"/>
        <w:rPr>
          <w:rFonts w:ascii="宋体" w:hAnsi="宋体"/>
          <w:color w:val="auto"/>
          <w:szCs w:val="21"/>
          <w:highlight w:val="none"/>
        </w:rPr>
      </w:pPr>
      <w:r>
        <w:rPr>
          <w:rFonts w:hint="eastAsia" w:ascii="宋体" w:hAnsi="宋体"/>
          <w:color w:val="auto"/>
          <w:szCs w:val="21"/>
          <w:highlight w:val="none"/>
        </w:rPr>
        <w:t xml:space="preserve">                              日  期：</w:t>
      </w:r>
    </w:p>
    <w:p w14:paraId="6A752DD5">
      <w:pPr>
        <w:widowControl/>
        <w:spacing w:line="360" w:lineRule="auto"/>
        <w:jc w:val="left"/>
        <w:rPr>
          <w:rFonts w:ascii="宋体" w:hAnsi="宋体" w:cs="Arial"/>
          <w:b/>
          <w:bCs/>
          <w:color w:val="auto"/>
          <w:highlight w:val="none"/>
        </w:rPr>
      </w:pPr>
    </w:p>
    <w:p w14:paraId="3B2DB4F4">
      <w:pPr>
        <w:widowControl/>
        <w:spacing w:line="360" w:lineRule="auto"/>
        <w:jc w:val="left"/>
        <w:rPr>
          <w:rFonts w:ascii="宋体" w:hAnsi="宋体" w:cs="Arial"/>
          <w:b/>
          <w:bCs/>
          <w:color w:val="auto"/>
          <w:highlight w:val="none"/>
        </w:rPr>
      </w:pPr>
    </w:p>
    <w:p w14:paraId="05CA5EB2">
      <w:pPr>
        <w:widowControl/>
        <w:spacing w:line="360" w:lineRule="auto"/>
        <w:jc w:val="left"/>
        <w:rPr>
          <w:rFonts w:ascii="宋体" w:hAnsi="宋体" w:cs="Arial"/>
          <w:b/>
          <w:bCs/>
          <w:color w:val="auto"/>
          <w:highlight w:val="none"/>
        </w:rPr>
      </w:pPr>
    </w:p>
    <w:p w14:paraId="08992E45">
      <w:pPr>
        <w:widowControl/>
        <w:spacing w:line="360" w:lineRule="auto"/>
        <w:jc w:val="left"/>
        <w:rPr>
          <w:rFonts w:ascii="宋体" w:hAnsi="宋体" w:cs="Arial"/>
          <w:b/>
          <w:bCs/>
          <w:color w:val="auto"/>
          <w:highlight w:val="none"/>
        </w:rPr>
      </w:pPr>
    </w:p>
    <w:p w14:paraId="16AA9990">
      <w:pPr>
        <w:widowControl/>
        <w:spacing w:line="360" w:lineRule="auto"/>
        <w:jc w:val="left"/>
        <w:rPr>
          <w:rFonts w:ascii="宋体" w:hAnsi="宋体" w:cs="Arial"/>
          <w:b/>
          <w:bCs/>
          <w:color w:val="auto"/>
          <w:highlight w:val="none"/>
        </w:rPr>
      </w:pPr>
    </w:p>
    <w:p w14:paraId="4CEFA1F2">
      <w:pPr>
        <w:widowControl/>
        <w:spacing w:line="360" w:lineRule="auto"/>
        <w:jc w:val="left"/>
        <w:rPr>
          <w:rFonts w:ascii="宋体" w:hAnsi="宋体" w:cs="Arial"/>
          <w:b/>
          <w:bCs/>
          <w:color w:val="auto"/>
          <w:highlight w:val="none"/>
        </w:rPr>
      </w:pPr>
    </w:p>
    <w:p w14:paraId="3EE8040D">
      <w:pPr>
        <w:widowControl/>
        <w:spacing w:line="360" w:lineRule="auto"/>
        <w:jc w:val="left"/>
        <w:rPr>
          <w:rFonts w:ascii="宋体" w:hAnsi="宋体" w:cs="Arial"/>
          <w:b/>
          <w:bCs/>
          <w:color w:val="auto"/>
          <w:highlight w:val="none"/>
        </w:rPr>
      </w:pPr>
    </w:p>
    <w:p w14:paraId="22CA30B8">
      <w:pPr>
        <w:spacing w:line="360" w:lineRule="auto"/>
        <w:jc w:val="center"/>
        <w:rPr>
          <w:rFonts w:ascii="宋体" w:hAnsi="宋体" w:cs="Arial"/>
          <w:b/>
          <w:bCs/>
          <w:color w:val="auto"/>
          <w:highlight w:val="none"/>
        </w:rPr>
      </w:pPr>
    </w:p>
    <w:p w14:paraId="2A74A5A4">
      <w:pPr>
        <w:widowControl/>
        <w:spacing w:line="360" w:lineRule="auto"/>
        <w:jc w:val="left"/>
        <w:rPr>
          <w:rFonts w:ascii="宋体" w:hAnsi="宋体" w:cs="Arial"/>
          <w:b/>
          <w:bCs/>
          <w:color w:val="auto"/>
          <w:highlight w:val="none"/>
        </w:rPr>
      </w:pPr>
    </w:p>
    <w:p w14:paraId="4F1BEDBC">
      <w:pPr>
        <w:widowControl/>
        <w:spacing w:line="360" w:lineRule="auto"/>
        <w:jc w:val="left"/>
        <w:rPr>
          <w:rFonts w:ascii="宋体" w:hAnsi="宋体" w:cs="Arial"/>
          <w:b/>
          <w:bCs/>
          <w:color w:val="auto"/>
          <w:highlight w:val="none"/>
        </w:rPr>
      </w:pPr>
    </w:p>
    <w:p w14:paraId="15DF1CD9">
      <w:pPr>
        <w:spacing w:line="360" w:lineRule="auto"/>
        <w:jc w:val="center"/>
        <w:rPr>
          <w:rFonts w:ascii="宋体" w:hAnsi="宋体"/>
          <w:color w:val="auto"/>
          <w:sz w:val="32"/>
          <w:highlight w:val="none"/>
        </w:rPr>
      </w:pPr>
      <w:r>
        <w:rPr>
          <w:rFonts w:hint="eastAsia" w:ascii="宋体" w:hAnsi="宋体"/>
          <w:b/>
          <w:color w:val="auto"/>
          <w:sz w:val="32"/>
          <w:szCs w:val="32"/>
          <w:highlight w:val="none"/>
        </w:rPr>
        <w:br w:type="page" w:clear="all"/>
      </w:r>
      <w:r>
        <w:rPr>
          <w:rFonts w:hint="eastAsia" w:ascii="宋体" w:hAnsi="宋体" w:cs="Arial"/>
          <w:b/>
          <w:bCs/>
          <w:color w:val="auto"/>
          <w:sz w:val="32"/>
          <w:szCs w:val="44"/>
          <w:highlight w:val="none"/>
        </w:rPr>
        <w:t>四、开标一览表</w:t>
      </w:r>
    </w:p>
    <w:p w14:paraId="16B1FA5A">
      <w:pPr>
        <w:spacing w:line="360" w:lineRule="auto"/>
        <w:ind w:firstLine="480"/>
        <w:rPr>
          <w:color w:val="auto"/>
          <w:szCs w:val="21"/>
          <w:highlight w:val="none"/>
        </w:rPr>
      </w:pPr>
      <w:r>
        <w:rPr>
          <w:rFonts w:hint="eastAsia" w:ascii="宋体" w:hAnsi="宋体"/>
          <w:color w:val="auto"/>
          <w:szCs w:val="21"/>
          <w:highlight w:val="none"/>
        </w:rPr>
        <w:t>项目名称：</w:t>
      </w:r>
    </w:p>
    <w:p w14:paraId="6B572C36">
      <w:pPr>
        <w:spacing w:line="360" w:lineRule="auto"/>
        <w:ind w:firstLine="480"/>
        <w:rPr>
          <w:rFonts w:ascii="宋体" w:hAnsi="宋体"/>
          <w:color w:val="auto"/>
          <w:szCs w:val="21"/>
          <w:highlight w:val="none"/>
        </w:rPr>
      </w:pPr>
      <w:r>
        <w:rPr>
          <w:rFonts w:hint="eastAsia" w:ascii="宋体" w:hAnsi="宋体"/>
          <w:color w:val="auto"/>
          <w:szCs w:val="21"/>
          <w:highlight w:val="none"/>
        </w:rPr>
        <w:t>项目编号：</w:t>
      </w:r>
    </w:p>
    <w:p w14:paraId="0072656D">
      <w:pPr>
        <w:spacing w:line="360" w:lineRule="auto"/>
        <w:ind w:firstLine="480"/>
        <w:rPr>
          <w:rFonts w:ascii="宋体" w:hAnsi="宋体"/>
          <w:color w:val="auto"/>
          <w:szCs w:val="21"/>
          <w:highlight w:val="none"/>
        </w:rPr>
      </w:pPr>
      <w:r>
        <w:rPr>
          <w:rFonts w:hint="eastAsia" w:ascii="宋体" w:hAnsi="宋体"/>
          <w:color w:val="auto"/>
          <w:szCs w:val="21"/>
          <w:highlight w:val="none"/>
        </w:rPr>
        <w:t xml:space="preserve">分包号(如有)： </w:t>
      </w:r>
    </w:p>
    <w:p w14:paraId="4F23FCE9">
      <w:pPr>
        <w:spacing w:line="360" w:lineRule="auto"/>
        <w:ind w:firstLine="480"/>
        <w:rPr>
          <w:rFonts w:ascii="宋体" w:hAnsi="宋体"/>
          <w:color w:val="auto"/>
          <w:szCs w:val="21"/>
          <w:highlight w:val="none"/>
        </w:rPr>
      </w:pPr>
      <w:r>
        <w:rPr>
          <w:rFonts w:hint="eastAsia" w:ascii="宋体" w:hAnsi="宋体"/>
          <w:color w:val="auto"/>
          <w:szCs w:val="21"/>
          <w:highlight w:val="none"/>
        </w:rPr>
        <w:t xml:space="preserve">                       </w:t>
      </w:r>
    </w:p>
    <w:tbl>
      <w:tblPr>
        <w:tblStyle w:val="38"/>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764C0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2481" w:type="dxa"/>
            <w:noWrap w:val="0"/>
            <w:vAlign w:val="center"/>
          </w:tcPr>
          <w:p w14:paraId="1FFD09FC">
            <w:pPr>
              <w:pStyle w:val="19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p>
        </w:tc>
        <w:tc>
          <w:tcPr>
            <w:tcW w:w="6405" w:type="dxa"/>
            <w:noWrap w:val="0"/>
            <w:vAlign w:val="center"/>
          </w:tcPr>
          <w:p w14:paraId="434C0701">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投标报价</w:t>
            </w:r>
          </w:p>
        </w:tc>
      </w:tr>
      <w:tr w14:paraId="33F4C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2481" w:type="dxa"/>
            <w:noWrap w:val="0"/>
            <w:vAlign w:val="center"/>
          </w:tcPr>
          <w:p w14:paraId="0FCD0503">
            <w:pPr>
              <w:pStyle w:val="199"/>
              <w:spacing w:line="360" w:lineRule="auto"/>
              <w:jc w:val="center"/>
              <w:rPr>
                <w:rFonts w:hint="eastAsia" w:ascii="宋体" w:hAnsi="宋体" w:eastAsia="宋体" w:cs="宋体"/>
                <w:color w:val="auto"/>
                <w:sz w:val="21"/>
                <w:szCs w:val="21"/>
                <w:highlight w:val="none"/>
              </w:rPr>
            </w:pPr>
          </w:p>
        </w:tc>
        <w:tc>
          <w:tcPr>
            <w:tcW w:w="6405" w:type="dxa"/>
            <w:noWrap w:val="0"/>
            <w:vAlign w:val="center"/>
          </w:tcPr>
          <w:p w14:paraId="3B09403B">
            <w:pPr>
              <w:pStyle w:val="223"/>
              <w:spacing w:before="0" w:after="0"/>
              <w:ind w:firstLine="0"/>
              <w:rPr>
                <w:rFonts w:ascii="宋体" w:hAnsi="宋体" w:cs="宋体"/>
                <w:color w:val="auto"/>
                <w:sz w:val="21"/>
                <w:szCs w:val="21"/>
                <w:highlight w:val="none"/>
              </w:rPr>
            </w:pPr>
            <w:r>
              <w:rPr>
                <w:rFonts w:hint="eastAsia" w:ascii="宋体" w:hAnsi="宋体" w:cs="宋体"/>
                <w:color w:val="auto"/>
                <w:sz w:val="21"/>
                <w:szCs w:val="21"/>
                <w:highlight w:val="none"/>
              </w:rPr>
              <w:t>大写：</w:t>
            </w:r>
          </w:p>
          <w:p w14:paraId="5486E787">
            <w:pPr>
              <w:pStyle w:val="223"/>
              <w:spacing w:before="0" w:after="0"/>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小写：                             （人民币：元）</w:t>
            </w:r>
          </w:p>
        </w:tc>
      </w:tr>
    </w:tbl>
    <w:p w14:paraId="0323FF6E">
      <w:pPr>
        <w:spacing w:line="360" w:lineRule="auto"/>
        <w:rPr>
          <w:rFonts w:ascii="宋体" w:hAnsi="宋体"/>
          <w:color w:val="auto"/>
          <w:szCs w:val="21"/>
          <w:highlight w:val="none"/>
        </w:rPr>
      </w:pPr>
    </w:p>
    <w:p w14:paraId="1023C7E6">
      <w:pPr>
        <w:spacing w:line="360" w:lineRule="auto"/>
        <w:ind w:firstLine="480"/>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AE2A358">
      <w:pPr>
        <w:pStyle w:val="195"/>
        <w:spacing w:line="360" w:lineRule="auto"/>
        <w:ind w:left="422" w:firstLine="0"/>
        <w:rPr>
          <w:rFonts w:ascii="宋体" w:hAnsi="宋体"/>
          <w:color w:val="auto"/>
          <w:sz w:val="32"/>
          <w:szCs w:val="32"/>
          <w:highlight w:val="none"/>
        </w:rPr>
      </w:pPr>
      <w:r>
        <w:rPr>
          <w:rFonts w:hint="eastAsia"/>
          <w:b/>
          <w:bCs/>
          <w:color w:val="auto"/>
          <w:highlight w:val="none"/>
        </w:rPr>
        <w:t>注：1、供应商在报价时应充分考虑不确定性因素所引起的费用。</w:t>
      </w:r>
    </w:p>
    <w:p w14:paraId="75E4F04C">
      <w:pPr>
        <w:pStyle w:val="195"/>
        <w:spacing w:line="360" w:lineRule="auto"/>
        <w:ind w:firstLine="640"/>
        <w:rPr>
          <w:rFonts w:ascii="宋体" w:hAnsi="宋体"/>
          <w:color w:val="auto"/>
          <w:sz w:val="32"/>
          <w:szCs w:val="32"/>
          <w:highlight w:val="none"/>
        </w:rPr>
      </w:pPr>
    </w:p>
    <w:p w14:paraId="6E7B889E">
      <w:pPr>
        <w:spacing w:line="360" w:lineRule="auto"/>
        <w:jc w:val="center"/>
        <w:rPr>
          <w:rFonts w:ascii="宋体" w:hAnsi="宋体"/>
          <w:color w:val="auto"/>
          <w:sz w:val="32"/>
          <w:highlight w:val="none"/>
        </w:rPr>
      </w:pPr>
      <w:r>
        <w:rPr>
          <w:rFonts w:hint="eastAsia" w:ascii="宋体" w:hAnsi="宋体"/>
          <w:color w:val="auto"/>
          <w:sz w:val="32"/>
          <w:szCs w:val="32"/>
          <w:highlight w:val="none"/>
        </w:rPr>
        <w:br w:type="page" w:clear="all"/>
      </w:r>
      <w:r>
        <w:rPr>
          <w:rFonts w:hint="eastAsia" w:ascii="宋体" w:hAnsi="宋体" w:cs="Arial"/>
          <w:b/>
          <w:bCs/>
          <w:color w:val="auto"/>
          <w:sz w:val="32"/>
          <w:szCs w:val="44"/>
          <w:highlight w:val="none"/>
        </w:rPr>
        <w:t>五、投标产品配置及分项报价表</w:t>
      </w:r>
    </w:p>
    <w:p w14:paraId="37BECE34">
      <w:pPr>
        <w:outlineLvl w:val="1"/>
        <w:rPr>
          <w:rFonts w:hint="eastAsia" w:ascii="宋体" w:hAnsi="宋体" w:eastAsia="宋体" w:cs="宋体"/>
          <w:b/>
          <w:bCs/>
          <w:color w:val="auto"/>
          <w:sz w:val="18"/>
          <w:szCs w:val="20"/>
          <w:highlight w:val="none"/>
          <w:lang w:val="en-US" w:eastAsia="zh-CN"/>
        </w:rPr>
      </w:pPr>
    </w:p>
    <w:tbl>
      <w:tblPr>
        <w:tblStyle w:val="38"/>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6"/>
        <w:gridCol w:w="1850"/>
        <w:gridCol w:w="1500"/>
        <w:gridCol w:w="1557"/>
        <w:gridCol w:w="714"/>
        <w:gridCol w:w="1272"/>
        <w:gridCol w:w="1385"/>
      </w:tblGrid>
      <w:tr w14:paraId="3263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59FEE5E5">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1850" w:type="dxa"/>
            <w:vAlign w:val="center"/>
          </w:tcPr>
          <w:p w14:paraId="22C6744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名称</w:t>
            </w:r>
          </w:p>
        </w:tc>
        <w:tc>
          <w:tcPr>
            <w:tcW w:w="1500" w:type="dxa"/>
            <w:vAlign w:val="center"/>
          </w:tcPr>
          <w:p w14:paraId="3268C6AD">
            <w:pPr>
              <w:widowControl/>
              <w:jc w:val="center"/>
              <w:rPr>
                <w:rFonts w:hint="eastAsia" w:ascii="宋体" w:hAnsi="宋体"/>
                <w:color w:val="auto"/>
                <w:szCs w:val="21"/>
                <w:highlight w:val="none"/>
              </w:rPr>
            </w:pPr>
            <w:r>
              <w:rPr>
                <w:rFonts w:hint="eastAsia" w:ascii="宋体" w:hAnsi="宋体" w:cs="宋体"/>
                <w:color w:val="auto"/>
                <w:kern w:val="0"/>
                <w:sz w:val="20"/>
                <w:szCs w:val="20"/>
                <w:highlight w:val="none"/>
                <w:lang w:bidi="ar"/>
              </w:rPr>
              <w:t>品牌、制造商</w:t>
            </w:r>
          </w:p>
        </w:tc>
        <w:tc>
          <w:tcPr>
            <w:tcW w:w="1557" w:type="dxa"/>
            <w:vAlign w:val="center"/>
          </w:tcPr>
          <w:p w14:paraId="789ABBBA">
            <w:pPr>
              <w:widowControl/>
              <w:jc w:val="center"/>
              <w:rPr>
                <w:rFonts w:hint="eastAsia" w:ascii="宋体" w:hAnsi="宋体"/>
                <w:color w:val="auto"/>
                <w:szCs w:val="21"/>
                <w:highlight w:val="none"/>
              </w:rPr>
            </w:pPr>
            <w:r>
              <w:rPr>
                <w:rFonts w:hint="eastAsia" w:ascii="宋体" w:hAnsi="宋体" w:cs="宋体"/>
                <w:color w:val="auto"/>
                <w:kern w:val="0"/>
                <w:sz w:val="20"/>
                <w:szCs w:val="20"/>
                <w:highlight w:val="none"/>
                <w:lang w:bidi="ar"/>
              </w:rPr>
              <w:t>规格或型号或分项目</w:t>
            </w:r>
          </w:p>
        </w:tc>
        <w:tc>
          <w:tcPr>
            <w:tcW w:w="714" w:type="dxa"/>
            <w:vAlign w:val="center"/>
          </w:tcPr>
          <w:p w14:paraId="6320C973">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数量</w:t>
            </w:r>
          </w:p>
        </w:tc>
        <w:tc>
          <w:tcPr>
            <w:tcW w:w="1272" w:type="dxa"/>
            <w:vAlign w:val="center"/>
          </w:tcPr>
          <w:p w14:paraId="7BDD3CC8">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单价（元）</w:t>
            </w:r>
          </w:p>
        </w:tc>
        <w:tc>
          <w:tcPr>
            <w:tcW w:w="1385" w:type="dxa"/>
            <w:vAlign w:val="center"/>
          </w:tcPr>
          <w:p w14:paraId="7171B618">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总价（元）</w:t>
            </w:r>
          </w:p>
        </w:tc>
      </w:tr>
      <w:tr w14:paraId="07ED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678CCF7">
            <w:pPr>
              <w:adjustRightInd w:val="0"/>
              <w:snapToGrid w:val="0"/>
              <w:jc w:val="center"/>
              <w:rPr>
                <w:rFonts w:hint="eastAsia" w:ascii="宋体" w:hAnsi="宋体"/>
                <w:color w:val="auto"/>
                <w:szCs w:val="21"/>
                <w:highlight w:val="none"/>
              </w:rPr>
            </w:pPr>
            <w:r>
              <w:rPr>
                <w:rFonts w:ascii="宋体" w:hAnsi="宋体"/>
                <w:color w:val="auto"/>
                <w:szCs w:val="21"/>
                <w:highlight w:val="none"/>
              </w:rPr>
              <w:t>1</w:t>
            </w:r>
          </w:p>
        </w:tc>
        <w:tc>
          <w:tcPr>
            <w:tcW w:w="1850" w:type="dxa"/>
            <w:vAlign w:val="center"/>
          </w:tcPr>
          <w:p w14:paraId="535BEF9A">
            <w:pPr>
              <w:adjustRightInd w:val="0"/>
              <w:snapToGrid w:val="0"/>
              <w:jc w:val="center"/>
              <w:rPr>
                <w:rFonts w:hint="eastAsia" w:ascii="宋体" w:hAnsi="宋体"/>
                <w:color w:val="auto"/>
                <w:szCs w:val="21"/>
                <w:highlight w:val="none"/>
              </w:rPr>
            </w:pPr>
          </w:p>
        </w:tc>
        <w:tc>
          <w:tcPr>
            <w:tcW w:w="1500" w:type="dxa"/>
            <w:vAlign w:val="center"/>
          </w:tcPr>
          <w:p w14:paraId="0903D8EA">
            <w:pPr>
              <w:adjustRightInd w:val="0"/>
              <w:snapToGrid w:val="0"/>
              <w:jc w:val="center"/>
              <w:rPr>
                <w:rFonts w:hint="eastAsia" w:ascii="宋体" w:hAnsi="宋体"/>
                <w:color w:val="auto"/>
                <w:szCs w:val="21"/>
                <w:highlight w:val="none"/>
              </w:rPr>
            </w:pPr>
          </w:p>
        </w:tc>
        <w:tc>
          <w:tcPr>
            <w:tcW w:w="1557" w:type="dxa"/>
            <w:vAlign w:val="center"/>
          </w:tcPr>
          <w:p w14:paraId="73A5470C">
            <w:pPr>
              <w:adjustRightInd w:val="0"/>
              <w:snapToGrid w:val="0"/>
              <w:jc w:val="center"/>
              <w:rPr>
                <w:rFonts w:hint="eastAsia" w:ascii="宋体" w:hAnsi="宋体"/>
                <w:color w:val="auto"/>
                <w:szCs w:val="21"/>
                <w:highlight w:val="none"/>
              </w:rPr>
            </w:pPr>
          </w:p>
        </w:tc>
        <w:tc>
          <w:tcPr>
            <w:tcW w:w="714" w:type="dxa"/>
            <w:vAlign w:val="center"/>
          </w:tcPr>
          <w:p w14:paraId="26A3807C">
            <w:pPr>
              <w:adjustRightInd w:val="0"/>
              <w:snapToGrid w:val="0"/>
              <w:jc w:val="center"/>
              <w:rPr>
                <w:rFonts w:hint="eastAsia" w:ascii="宋体" w:hAnsi="宋体"/>
                <w:color w:val="auto"/>
                <w:szCs w:val="21"/>
                <w:highlight w:val="none"/>
              </w:rPr>
            </w:pPr>
          </w:p>
        </w:tc>
        <w:tc>
          <w:tcPr>
            <w:tcW w:w="1272" w:type="dxa"/>
            <w:vAlign w:val="center"/>
          </w:tcPr>
          <w:p w14:paraId="6984E8E4">
            <w:pPr>
              <w:adjustRightInd w:val="0"/>
              <w:snapToGrid w:val="0"/>
              <w:jc w:val="center"/>
              <w:rPr>
                <w:rFonts w:hint="eastAsia" w:ascii="宋体" w:hAnsi="宋体"/>
                <w:color w:val="auto"/>
                <w:szCs w:val="21"/>
                <w:highlight w:val="none"/>
              </w:rPr>
            </w:pPr>
          </w:p>
        </w:tc>
        <w:tc>
          <w:tcPr>
            <w:tcW w:w="1385" w:type="dxa"/>
            <w:vAlign w:val="center"/>
          </w:tcPr>
          <w:p w14:paraId="2AE7567C">
            <w:pPr>
              <w:adjustRightInd w:val="0"/>
              <w:snapToGrid w:val="0"/>
              <w:jc w:val="center"/>
              <w:rPr>
                <w:rFonts w:hint="eastAsia" w:ascii="宋体" w:hAnsi="宋体"/>
                <w:color w:val="auto"/>
                <w:szCs w:val="21"/>
                <w:highlight w:val="none"/>
              </w:rPr>
            </w:pPr>
          </w:p>
        </w:tc>
      </w:tr>
      <w:tr w14:paraId="2EA6E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41A72DD0">
            <w:pPr>
              <w:adjustRightInd w:val="0"/>
              <w:snapToGrid w:val="0"/>
              <w:jc w:val="center"/>
              <w:rPr>
                <w:rFonts w:hint="eastAsia" w:ascii="宋体" w:hAnsi="宋体"/>
                <w:color w:val="auto"/>
                <w:szCs w:val="21"/>
                <w:highlight w:val="none"/>
              </w:rPr>
            </w:pPr>
            <w:r>
              <w:rPr>
                <w:rFonts w:ascii="宋体" w:hAnsi="宋体"/>
                <w:color w:val="auto"/>
                <w:szCs w:val="21"/>
                <w:highlight w:val="none"/>
              </w:rPr>
              <w:t>2</w:t>
            </w:r>
          </w:p>
        </w:tc>
        <w:tc>
          <w:tcPr>
            <w:tcW w:w="1850" w:type="dxa"/>
            <w:vAlign w:val="center"/>
          </w:tcPr>
          <w:p w14:paraId="45955D81">
            <w:pPr>
              <w:adjustRightInd w:val="0"/>
              <w:snapToGrid w:val="0"/>
              <w:jc w:val="center"/>
              <w:rPr>
                <w:rFonts w:hint="eastAsia" w:ascii="宋体" w:hAnsi="宋体"/>
                <w:color w:val="auto"/>
                <w:szCs w:val="21"/>
                <w:highlight w:val="none"/>
              </w:rPr>
            </w:pPr>
          </w:p>
        </w:tc>
        <w:tc>
          <w:tcPr>
            <w:tcW w:w="1500" w:type="dxa"/>
            <w:vAlign w:val="center"/>
          </w:tcPr>
          <w:p w14:paraId="0E30E8A5">
            <w:pPr>
              <w:adjustRightInd w:val="0"/>
              <w:snapToGrid w:val="0"/>
              <w:jc w:val="center"/>
              <w:rPr>
                <w:rFonts w:hint="eastAsia" w:ascii="宋体" w:hAnsi="宋体"/>
                <w:color w:val="auto"/>
                <w:szCs w:val="21"/>
                <w:highlight w:val="none"/>
              </w:rPr>
            </w:pPr>
          </w:p>
        </w:tc>
        <w:tc>
          <w:tcPr>
            <w:tcW w:w="1557" w:type="dxa"/>
            <w:vAlign w:val="center"/>
          </w:tcPr>
          <w:p w14:paraId="0559C010">
            <w:pPr>
              <w:adjustRightInd w:val="0"/>
              <w:snapToGrid w:val="0"/>
              <w:jc w:val="center"/>
              <w:rPr>
                <w:rFonts w:hint="eastAsia" w:ascii="宋体" w:hAnsi="宋体"/>
                <w:color w:val="auto"/>
                <w:szCs w:val="21"/>
                <w:highlight w:val="none"/>
              </w:rPr>
            </w:pPr>
          </w:p>
        </w:tc>
        <w:tc>
          <w:tcPr>
            <w:tcW w:w="714" w:type="dxa"/>
            <w:vAlign w:val="center"/>
          </w:tcPr>
          <w:p w14:paraId="5F29C92D">
            <w:pPr>
              <w:adjustRightInd w:val="0"/>
              <w:snapToGrid w:val="0"/>
              <w:jc w:val="center"/>
              <w:rPr>
                <w:rFonts w:hint="eastAsia" w:ascii="宋体" w:hAnsi="宋体"/>
                <w:color w:val="auto"/>
                <w:szCs w:val="21"/>
                <w:highlight w:val="none"/>
              </w:rPr>
            </w:pPr>
          </w:p>
        </w:tc>
        <w:tc>
          <w:tcPr>
            <w:tcW w:w="1272" w:type="dxa"/>
            <w:vAlign w:val="center"/>
          </w:tcPr>
          <w:p w14:paraId="6117B95C">
            <w:pPr>
              <w:adjustRightInd w:val="0"/>
              <w:snapToGrid w:val="0"/>
              <w:jc w:val="center"/>
              <w:rPr>
                <w:rFonts w:hint="eastAsia" w:ascii="宋体" w:hAnsi="宋体"/>
                <w:color w:val="auto"/>
                <w:szCs w:val="21"/>
                <w:highlight w:val="none"/>
              </w:rPr>
            </w:pPr>
          </w:p>
        </w:tc>
        <w:tc>
          <w:tcPr>
            <w:tcW w:w="1385" w:type="dxa"/>
            <w:vAlign w:val="center"/>
          </w:tcPr>
          <w:p w14:paraId="662EDB7B">
            <w:pPr>
              <w:adjustRightInd w:val="0"/>
              <w:snapToGrid w:val="0"/>
              <w:jc w:val="center"/>
              <w:rPr>
                <w:rFonts w:hint="eastAsia" w:ascii="宋体" w:hAnsi="宋体"/>
                <w:color w:val="auto"/>
                <w:szCs w:val="21"/>
                <w:highlight w:val="none"/>
              </w:rPr>
            </w:pPr>
          </w:p>
        </w:tc>
      </w:tr>
      <w:tr w14:paraId="54BE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551699C7">
            <w:pPr>
              <w:adjustRightInd w:val="0"/>
              <w:snapToGrid w:val="0"/>
              <w:jc w:val="center"/>
              <w:rPr>
                <w:rFonts w:hint="eastAsia" w:ascii="宋体" w:hAnsi="宋体"/>
                <w:color w:val="auto"/>
                <w:szCs w:val="21"/>
                <w:highlight w:val="none"/>
              </w:rPr>
            </w:pPr>
            <w:r>
              <w:rPr>
                <w:rFonts w:ascii="宋体" w:hAnsi="宋体"/>
                <w:color w:val="auto"/>
                <w:szCs w:val="21"/>
                <w:highlight w:val="none"/>
              </w:rPr>
              <w:t>3</w:t>
            </w:r>
          </w:p>
        </w:tc>
        <w:tc>
          <w:tcPr>
            <w:tcW w:w="1850" w:type="dxa"/>
            <w:vAlign w:val="center"/>
          </w:tcPr>
          <w:p w14:paraId="5F1645A0">
            <w:pPr>
              <w:adjustRightInd w:val="0"/>
              <w:snapToGrid w:val="0"/>
              <w:jc w:val="center"/>
              <w:rPr>
                <w:rFonts w:hint="eastAsia" w:ascii="宋体" w:hAnsi="宋体"/>
                <w:color w:val="auto"/>
                <w:szCs w:val="21"/>
                <w:highlight w:val="none"/>
              </w:rPr>
            </w:pPr>
          </w:p>
        </w:tc>
        <w:tc>
          <w:tcPr>
            <w:tcW w:w="1500" w:type="dxa"/>
            <w:vAlign w:val="center"/>
          </w:tcPr>
          <w:p w14:paraId="7479FF43">
            <w:pPr>
              <w:adjustRightInd w:val="0"/>
              <w:snapToGrid w:val="0"/>
              <w:jc w:val="center"/>
              <w:rPr>
                <w:rFonts w:hint="eastAsia" w:ascii="宋体" w:hAnsi="宋体"/>
                <w:color w:val="auto"/>
                <w:szCs w:val="21"/>
                <w:highlight w:val="none"/>
              </w:rPr>
            </w:pPr>
          </w:p>
        </w:tc>
        <w:tc>
          <w:tcPr>
            <w:tcW w:w="1557" w:type="dxa"/>
            <w:vAlign w:val="center"/>
          </w:tcPr>
          <w:p w14:paraId="07429C03">
            <w:pPr>
              <w:adjustRightInd w:val="0"/>
              <w:snapToGrid w:val="0"/>
              <w:jc w:val="center"/>
              <w:rPr>
                <w:rFonts w:hint="eastAsia" w:ascii="宋体" w:hAnsi="宋体"/>
                <w:color w:val="auto"/>
                <w:szCs w:val="21"/>
                <w:highlight w:val="none"/>
              </w:rPr>
            </w:pPr>
          </w:p>
        </w:tc>
        <w:tc>
          <w:tcPr>
            <w:tcW w:w="714" w:type="dxa"/>
            <w:vAlign w:val="center"/>
          </w:tcPr>
          <w:p w14:paraId="2167DD82">
            <w:pPr>
              <w:adjustRightInd w:val="0"/>
              <w:snapToGrid w:val="0"/>
              <w:jc w:val="center"/>
              <w:rPr>
                <w:rFonts w:hint="eastAsia" w:ascii="宋体" w:hAnsi="宋体"/>
                <w:color w:val="auto"/>
                <w:szCs w:val="21"/>
                <w:highlight w:val="none"/>
              </w:rPr>
            </w:pPr>
          </w:p>
        </w:tc>
        <w:tc>
          <w:tcPr>
            <w:tcW w:w="1272" w:type="dxa"/>
            <w:vAlign w:val="center"/>
          </w:tcPr>
          <w:p w14:paraId="28A98378">
            <w:pPr>
              <w:adjustRightInd w:val="0"/>
              <w:snapToGrid w:val="0"/>
              <w:jc w:val="center"/>
              <w:rPr>
                <w:rFonts w:hint="eastAsia" w:ascii="宋体" w:hAnsi="宋体"/>
                <w:color w:val="auto"/>
                <w:szCs w:val="21"/>
                <w:highlight w:val="none"/>
              </w:rPr>
            </w:pPr>
          </w:p>
        </w:tc>
        <w:tc>
          <w:tcPr>
            <w:tcW w:w="1385" w:type="dxa"/>
            <w:vAlign w:val="center"/>
          </w:tcPr>
          <w:p w14:paraId="0A2551C3">
            <w:pPr>
              <w:adjustRightInd w:val="0"/>
              <w:snapToGrid w:val="0"/>
              <w:jc w:val="center"/>
              <w:rPr>
                <w:rFonts w:hint="eastAsia" w:ascii="宋体" w:hAnsi="宋体"/>
                <w:color w:val="auto"/>
                <w:szCs w:val="21"/>
                <w:highlight w:val="none"/>
              </w:rPr>
            </w:pPr>
          </w:p>
        </w:tc>
      </w:tr>
      <w:tr w14:paraId="2501D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262A61F4">
            <w:pPr>
              <w:adjustRightInd w:val="0"/>
              <w:snapToGrid w:val="0"/>
              <w:jc w:val="center"/>
              <w:rPr>
                <w:rFonts w:hint="eastAsia" w:ascii="宋体" w:hAnsi="宋体"/>
                <w:color w:val="auto"/>
                <w:szCs w:val="21"/>
                <w:highlight w:val="none"/>
              </w:rPr>
            </w:pPr>
            <w:r>
              <w:rPr>
                <w:rFonts w:ascii="宋体" w:hAnsi="宋体"/>
                <w:color w:val="auto"/>
                <w:szCs w:val="21"/>
                <w:highlight w:val="none"/>
              </w:rPr>
              <w:t>4</w:t>
            </w:r>
          </w:p>
        </w:tc>
        <w:tc>
          <w:tcPr>
            <w:tcW w:w="1850" w:type="dxa"/>
            <w:vAlign w:val="center"/>
          </w:tcPr>
          <w:p w14:paraId="42FC8995">
            <w:pPr>
              <w:adjustRightInd w:val="0"/>
              <w:snapToGrid w:val="0"/>
              <w:jc w:val="center"/>
              <w:rPr>
                <w:rFonts w:hint="eastAsia" w:ascii="宋体" w:hAnsi="宋体"/>
                <w:color w:val="auto"/>
                <w:szCs w:val="21"/>
                <w:highlight w:val="none"/>
              </w:rPr>
            </w:pPr>
          </w:p>
        </w:tc>
        <w:tc>
          <w:tcPr>
            <w:tcW w:w="1500" w:type="dxa"/>
            <w:vAlign w:val="center"/>
          </w:tcPr>
          <w:p w14:paraId="6D36FEF4">
            <w:pPr>
              <w:adjustRightInd w:val="0"/>
              <w:snapToGrid w:val="0"/>
              <w:jc w:val="center"/>
              <w:rPr>
                <w:rFonts w:hint="eastAsia" w:ascii="宋体" w:hAnsi="宋体"/>
                <w:color w:val="auto"/>
                <w:szCs w:val="21"/>
                <w:highlight w:val="none"/>
              </w:rPr>
            </w:pPr>
          </w:p>
        </w:tc>
        <w:tc>
          <w:tcPr>
            <w:tcW w:w="1557" w:type="dxa"/>
            <w:vAlign w:val="center"/>
          </w:tcPr>
          <w:p w14:paraId="71DFD112">
            <w:pPr>
              <w:adjustRightInd w:val="0"/>
              <w:snapToGrid w:val="0"/>
              <w:jc w:val="center"/>
              <w:rPr>
                <w:rFonts w:hint="eastAsia" w:ascii="宋体" w:hAnsi="宋体"/>
                <w:color w:val="auto"/>
                <w:szCs w:val="21"/>
                <w:highlight w:val="none"/>
              </w:rPr>
            </w:pPr>
          </w:p>
        </w:tc>
        <w:tc>
          <w:tcPr>
            <w:tcW w:w="714" w:type="dxa"/>
            <w:vAlign w:val="center"/>
          </w:tcPr>
          <w:p w14:paraId="32649840">
            <w:pPr>
              <w:adjustRightInd w:val="0"/>
              <w:snapToGrid w:val="0"/>
              <w:jc w:val="center"/>
              <w:rPr>
                <w:rFonts w:hint="eastAsia" w:ascii="宋体" w:hAnsi="宋体"/>
                <w:color w:val="auto"/>
                <w:szCs w:val="21"/>
                <w:highlight w:val="none"/>
              </w:rPr>
            </w:pPr>
          </w:p>
        </w:tc>
        <w:tc>
          <w:tcPr>
            <w:tcW w:w="1272" w:type="dxa"/>
            <w:vAlign w:val="center"/>
          </w:tcPr>
          <w:p w14:paraId="58319AB4">
            <w:pPr>
              <w:adjustRightInd w:val="0"/>
              <w:snapToGrid w:val="0"/>
              <w:jc w:val="center"/>
              <w:rPr>
                <w:rFonts w:hint="eastAsia" w:ascii="宋体" w:hAnsi="宋体"/>
                <w:color w:val="auto"/>
                <w:szCs w:val="21"/>
                <w:highlight w:val="none"/>
              </w:rPr>
            </w:pPr>
          </w:p>
        </w:tc>
        <w:tc>
          <w:tcPr>
            <w:tcW w:w="1385" w:type="dxa"/>
            <w:vAlign w:val="center"/>
          </w:tcPr>
          <w:p w14:paraId="0208C1DD">
            <w:pPr>
              <w:adjustRightInd w:val="0"/>
              <w:snapToGrid w:val="0"/>
              <w:jc w:val="center"/>
              <w:rPr>
                <w:rFonts w:hint="eastAsia" w:ascii="宋体" w:hAnsi="宋体"/>
                <w:color w:val="auto"/>
                <w:szCs w:val="21"/>
                <w:highlight w:val="none"/>
              </w:rPr>
            </w:pPr>
          </w:p>
        </w:tc>
      </w:tr>
      <w:tr w14:paraId="4077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53F85A1F">
            <w:pPr>
              <w:adjustRightInd w:val="0"/>
              <w:snapToGrid w:val="0"/>
              <w:jc w:val="center"/>
              <w:rPr>
                <w:rFonts w:hint="eastAsia" w:ascii="宋体" w:hAnsi="宋体"/>
                <w:color w:val="auto"/>
                <w:szCs w:val="21"/>
                <w:highlight w:val="none"/>
              </w:rPr>
            </w:pPr>
            <w:r>
              <w:rPr>
                <w:rFonts w:ascii="宋体" w:hAnsi="宋体"/>
                <w:color w:val="auto"/>
                <w:szCs w:val="21"/>
                <w:highlight w:val="none"/>
              </w:rPr>
              <w:t>5</w:t>
            </w:r>
          </w:p>
        </w:tc>
        <w:tc>
          <w:tcPr>
            <w:tcW w:w="1850" w:type="dxa"/>
            <w:vAlign w:val="center"/>
          </w:tcPr>
          <w:p w14:paraId="79A62BA1">
            <w:pPr>
              <w:adjustRightInd w:val="0"/>
              <w:snapToGrid w:val="0"/>
              <w:jc w:val="center"/>
              <w:rPr>
                <w:rFonts w:hint="eastAsia" w:ascii="宋体" w:hAnsi="宋体"/>
                <w:color w:val="auto"/>
                <w:szCs w:val="21"/>
                <w:highlight w:val="none"/>
              </w:rPr>
            </w:pPr>
          </w:p>
        </w:tc>
        <w:tc>
          <w:tcPr>
            <w:tcW w:w="1500" w:type="dxa"/>
            <w:vAlign w:val="center"/>
          </w:tcPr>
          <w:p w14:paraId="76E4AD8E">
            <w:pPr>
              <w:adjustRightInd w:val="0"/>
              <w:snapToGrid w:val="0"/>
              <w:jc w:val="center"/>
              <w:rPr>
                <w:rFonts w:hint="eastAsia" w:ascii="宋体" w:hAnsi="宋体"/>
                <w:color w:val="auto"/>
                <w:szCs w:val="21"/>
                <w:highlight w:val="none"/>
              </w:rPr>
            </w:pPr>
          </w:p>
        </w:tc>
        <w:tc>
          <w:tcPr>
            <w:tcW w:w="1557" w:type="dxa"/>
            <w:vAlign w:val="center"/>
          </w:tcPr>
          <w:p w14:paraId="3DE31A58">
            <w:pPr>
              <w:adjustRightInd w:val="0"/>
              <w:snapToGrid w:val="0"/>
              <w:jc w:val="center"/>
              <w:rPr>
                <w:rFonts w:hint="eastAsia" w:ascii="宋体" w:hAnsi="宋体"/>
                <w:color w:val="auto"/>
                <w:szCs w:val="21"/>
                <w:highlight w:val="none"/>
              </w:rPr>
            </w:pPr>
          </w:p>
        </w:tc>
        <w:tc>
          <w:tcPr>
            <w:tcW w:w="714" w:type="dxa"/>
            <w:vAlign w:val="center"/>
          </w:tcPr>
          <w:p w14:paraId="4C768240">
            <w:pPr>
              <w:adjustRightInd w:val="0"/>
              <w:snapToGrid w:val="0"/>
              <w:jc w:val="center"/>
              <w:rPr>
                <w:rFonts w:hint="eastAsia" w:ascii="宋体" w:hAnsi="宋体"/>
                <w:color w:val="auto"/>
                <w:szCs w:val="21"/>
                <w:highlight w:val="none"/>
              </w:rPr>
            </w:pPr>
          </w:p>
        </w:tc>
        <w:tc>
          <w:tcPr>
            <w:tcW w:w="1272" w:type="dxa"/>
            <w:vAlign w:val="center"/>
          </w:tcPr>
          <w:p w14:paraId="796FBABF">
            <w:pPr>
              <w:adjustRightInd w:val="0"/>
              <w:snapToGrid w:val="0"/>
              <w:jc w:val="center"/>
              <w:rPr>
                <w:rFonts w:hint="eastAsia" w:ascii="宋体" w:hAnsi="宋体"/>
                <w:color w:val="auto"/>
                <w:szCs w:val="21"/>
                <w:highlight w:val="none"/>
              </w:rPr>
            </w:pPr>
          </w:p>
        </w:tc>
        <w:tc>
          <w:tcPr>
            <w:tcW w:w="1385" w:type="dxa"/>
            <w:vAlign w:val="center"/>
          </w:tcPr>
          <w:p w14:paraId="4E5C27FF">
            <w:pPr>
              <w:adjustRightInd w:val="0"/>
              <w:snapToGrid w:val="0"/>
              <w:jc w:val="center"/>
              <w:rPr>
                <w:rFonts w:hint="eastAsia" w:ascii="宋体" w:hAnsi="宋体"/>
                <w:color w:val="auto"/>
                <w:szCs w:val="21"/>
                <w:highlight w:val="none"/>
              </w:rPr>
            </w:pPr>
          </w:p>
        </w:tc>
      </w:tr>
      <w:tr w14:paraId="2754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C4AE54C">
            <w:pPr>
              <w:adjustRightInd w:val="0"/>
              <w:snapToGrid w:val="0"/>
              <w:jc w:val="center"/>
              <w:rPr>
                <w:rFonts w:hint="eastAsia" w:ascii="宋体" w:hAnsi="宋体"/>
                <w:color w:val="auto"/>
                <w:szCs w:val="21"/>
                <w:highlight w:val="none"/>
              </w:rPr>
            </w:pPr>
            <w:r>
              <w:rPr>
                <w:rFonts w:ascii="宋体" w:hAnsi="宋体"/>
                <w:color w:val="auto"/>
                <w:szCs w:val="21"/>
                <w:highlight w:val="none"/>
              </w:rPr>
              <w:t>6</w:t>
            </w:r>
          </w:p>
        </w:tc>
        <w:tc>
          <w:tcPr>
            <w:tcW w:w="1850" w:type="dxa"/>
            <w:vAlign w:val="center"/>
          </w:tcPr>
          <w:p w14:paraId="204B7B7D">
            <w:pPr>
              <w:adjustRightInd w:val="0"/>
              <w:snapToGrid w:val="0"/>
              <w:jc w:val="center"/>
              <w:rPr>
                <w:rFonts w:hint="eastAsia" w:ascii="宋体" w:hAnsi="宋体"/>
                <w:color w:val="auto"/>
                <w:szCs w:val="21"/>
                <w:highlight w:val="none"/>
              </w:rPr>
            </w:pPr>
          </w:p>
        </w:tc>
        <w:tc>
          <w:tcPr>
            <w:tcW w:w="1500" w:type="dxa"/>
            <w:vAlign w:val="center"/>
          </w:tcPr>
          <w:p w14:paraId="0ACD2CF3">
            <w:pPr>
              <w:adjustRightInd w:val="0"/>
              <w:snapToGrid w:val="0"/>
              <w:jc w:val="center"/>
              <w:rPr>
                <w:rFonts w:hint="eastAsia" w:ascii="宋体" w:hAnsi="宋体"/>
                <w:color w:val="auto"/>
                <w:szCs w:val="21"/>
                <w:highlight w:val="none"/>
              </w:rPr>
            </w:pPr>
          </w:p>
        </w:tc>
        <w:tc>
          <w:tcPr>
            <w:tcW w:w="1557" w:type="dxa"/>
            <w:vAlign w:val="center"/>
          </w:tcPr>
          <w:p w14:paraId="7C422524">
            <w:pPr>
              <w:adjustRightInd w:val="0"/>
              <w:snapToGrid w:val="0"/>
              <w:jc w:val="center"/>
              <w:rPr>
                <w:rFonts w:hint="eastAsia" w:ascii="宋体" w:hAnsi="宋体"/>
                <w:color w:val="auto"/>
                <w:szCs w:val="21"/>
                <w:highlight w:val="none"/>
              </w:rPr>
            </w:pPr>
          </w:p>
        </w:tc>
        <w:tc>
          <w:tcPr>
            <w:tcW w:w="714" w:type="dxa"/>
            <w:vAlign w:val="center"/>
          </w:tcPr>
          <w:p w14:paraId="1097BF21">
            <w:pPr>
              <w:adjustRightInd w:val="0"/>
              <w:snapToGrid w:val="0"/>
              <w:jc w:val="center"/>
              <w:rPr>
                <w:rFonts w:hint="eastAsia" w:ascii="宋体" w:hAnsi="宋体"/>
                <w:color w:val="auto"/>
                <w:szCs w:val="21"/>
                <w:highlight w:val="none"/>
              </w:rPr>
            </w:pPr>
          </w:p>
        </w:tc>
        <w:tc>
          <w:tcPr>
            <w:tcW w:w="1272" w:type="dxa"/>
            <w:vAlign w:val="center"/>
          </w:tcPr>
          <w:p w14:paraId="288C21F1">
            <w:pPr>
              <w:adjustRightInd w:val="0"/>
              <w:snapToGrid w:val="0"/>
              <w:jc w:val="center"/>
              <w:rPr>
                <w:rFonts w:hint="eastAsia" w:ascii="宋体" w:hAnsi="宋体"/>
                <w:color w:val="auto"/>
                <w:szCs w:val="21"/>
                <w:highlight w:val="none"/>
              </w:rPr>
            </w:pPr>
          </w:p>
        </w:tc>
        <w:tc>
          <w:tcPr>
            <w:tcW w:w="1385" w:type="dxa"/>
            <w:vAlign w:val="center"/>
          </w:tcPr>
          <w:p w14:paraId="22FEE2EF">
            <w:pPr>
              <w:adjustRightInd w:val="0"/>
              <w:snapToGrid w:val="0"/>
              <w:jc w:val="center"/>
              <w:rPr>
                <w:rFonts w:hint="eastAsia" w:ascii="宋体" w:hAnsi="宋体"/>
                <w:color w:val="auto"/>
                <w:szCs w:val="21"/>
                <w:highlight w:val="none"/>
              </w:rPr>
            </w:pPr>
          </w:p>
        </w:tc>
      </w:tr>
      <w:tr w14:paraId="5A5C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76F5E2DD">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w:t>
            </w:r>
          </w:p>
        </w:tc>
        <w:tc>
          <w:tcPr>
            <w:tcW w:w="1850" w:type="dxa"/>
            <w:vAlign w:val="center"/>
          </w:tcPr>
          <w:p w14:paraId="520D224F">
            <w:pPr>
              <w:adjustRightInd w:val="0"/>
              <w:snapToGrid w:val="0"/>
              <w:jc w:val="center"/>
              <w:rPr>
                <w:rFonts w:hint="eastAsia" w:ascii="宋体" w:hAnsi="宋体"/>
                <w:color w:val="auto"/>
                <w:szCs w:val="21"/>
                <w:highlight w:val="none"/>
              </w:rPr>
            </w:pPr>
          </w:p>
        </w:tc>
        <w:tc>
          <w:tcPr>
            <w:tcW w:w="1500" w:type="dxa"/>
            <w:vAlign w:val="center"/>
          </w:tcPr>
          <w:p w14:paraId="5CEA0B70">
            <w:pPr>
              <w:adjustRightInd w:val="0"/>
              <w:snapToGrid w:val="0"/>
              <w:jc w:val="center"/>
              <w:rPr>
                <w:rFonts w:hint="eastAsia" w:ascii="宋体" w:hAnsi="宋体"/>
                <w:color w:val="auto"/>
                <w:szCs w:val="21"/>
                <w:highlight w:val="none"/>
              </w:rPr>
            </w:pPr>
          </w:p>
        </w:tc>
        <w:tc>
          <w:tcPr>
            <w:tcW w:w="1557" w:type="dxa"/>
            <w:vAlign w:val="center"/>
          </w:tcPr>
          <w:p w14:paraId="19C5A041">
            <w:pPr>
              <w:adjustRightInd w:val="0"/>
              <w:snapToGrid w:val="0"/>
              <w:jc w:val="center"/>
              <w:rPr>
                <w:rFonts w:hint="eastAsia" w:ascii="宋体" w:hAnsi="宋体"/>
                <w:color w:val="auto"/>
                <w:szCs w:val="21"/>
                <w:highlight w:val="none"/>
              </w:rPr>
            </w:pPr>
          </w:p>
        </w:tc>
        <w:tc>
          <w:tcPr>
            <w:tcW w:w="714" w:type="dxa"/>
            <w:vAlign w:val="center"/>
          </w:tcPr>
          <w:p w14:paraId="4DA1ABEA">
            <w:pPr>
              <w:adjustRightInd w:val="0"/>
              <w:snapToGrid w:val="0"/>
              <w:jc w:val="center"/>
              <w:rPr>
                <w:rFonts w:hint="eastAsia" w:ascii="宋体" w:hAnsi="宋体"/>
                <w:color w:val="auto"/>
                <w:szCs w:val="21"/>
                <w:highlight w:val="none"/>
              </w:rPr>
            </w:pPr>
          </w:p>
        </w:tc>
        <w:tc>
          <w:tcPr>
            <w:tcW w:w="1272" w:type="dxa"/>
            <w:vAlign w:val="center"/>
          </w:tcPr>
          <w:p w14:paraId="4E4D02BA">
            <w:pPr>
              <w:adjustRightInd w:val="0"/>
              <w:snapToGrid w:val="0"/>
              <w:jc w:val="center"/>
              <w:rPr>
                <w:rFonts w:hint="eastAsia" w:ascii="宋体" w:hAnsi="宋体"/>
                <w:color w:val="auto"/>
                <w:szCs w:val="21"/>
                <w:highlight w:val="none"/>
              </w:rPr>
            </w:pPr>
          </w:p>
        </w:tc>
        <w:tc>
          <w:tcPr>
            <w:tcW w:w="1385" w:type="dxa"/>
            <w:vAlign w:val="center"/>
          </w:tcPr>
          <w:p w14:paraId="7B6E87C9">
            <w:pPr>
              <w:adjustRightInd w:val="0"/>
              <w:snapToGrid w:val="0"/>
              <w:jc w:val="center"/>
              <w:rPr>
                <w:rFonts w:hint="eastAsia" w:ascii="宋体" w:hAnsi="宋体"/>
                <w:color w:val="auto"/>
                <w:szCs w:val="21"/>
                <w:highlight w:val="none"/>
              </w:rPr>
            </w:pPr>
          </w:p>
        </w:tc>
      </w:tr>
      <w:tr w14:paraId="4CFB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2" w:type="dxa"/>
            <w:vAlign w:val="center"/>
          </w:tcPr>
          <w:p w14:paraId="1DE931BA">
            <w:pPr>
              <w:adjustRightInd w:val="0"/>
              <w:snapToGrid w:val="0"/>
              <w:jc w:val="center"/>
              <w:rPr>
                <w:rFonts w:hint="eastAsia" w:ascii="宋体" w:hAnsi="宋体"/>
                <w:b/>
                <w:color w:val="auto"/>
                <w:szCs w:val="21"/>
                <w:highlight w:val="none"/>
              </w:rPr>
            </w:pPr>
          </w:p>
        </w:tc>
        <w:tc>
          <w:tcPr>
            <w:tcW w:w="6899" w:type="dxa"/>
            <w:gridSpan w:val="6"/>
            <w:vAlign w:val="center"/>
          </w:tcPr>
          <w:p w14:paraId="16257B8C">
            <w:pPr>
              <w:adjustRightInd w:val="0"/>
              <w:snapToGrid w:val="0"/>
              <w:jc w:val="center"/>
              <w:rPr>
                <w:rFonts w:hint="eastAsia" w:ascii="宋体" w:hAnsi="宋体"/>
                <w:b/>
                <w:color w:val="auto"/>
                <w:szCs w:val="21"/>
                <w:highlight w:val="none"/>
              </w:rPr>
            </w:pPr>
            <w:r>
              <w:rPr>
                <w:rFonts w:hint="eastAsia" w:ascii="宋体" w:hAnsi="宋体"/>
                <w:b/>
                <w:color w:val="auto"/>
                <w:szCs w:val="21"/>
                <w:highlight w:val="none"/>
              </w:rPr>
              <w:t>投标报价</w:t>
            </w:r>
          </w:p>
        </w:tc>
        <w:tc>
          <w:tcPr>
            <w:tcW w:w="1385" w:type="dxa"/>
            <w:vAlign w:val="center"/>
          </w:tcPr>
          <w:p w14:paraId="37016E92">
            <w:pPr>
              <w:adjustRightInd w:val="0"/>
              <w:snapToGrid w:val="0"/>
              <w:jc w:val="center"/>
              <w:rPr>
                <w:rFonts w:hint="eastAsia" w:ascii="宋体" w:hAnsi="宋体"/>
                <w:color w:val="auto"/>
                <w:szCs w:val="21"/>
                <w:highlight w:val="none"/>
              </w:rPr>
            </w:pPr>
          </w:p>
        </w:tc>
      </w:tr>
    </w:tbl>
    <w:p w14:paraId="6C3C763F">
      <w:pPr>
        <w:widowControl/>
        <w:adjustRightInd w:val="0"/>
        <w:spacing w:line="360" w:lineRule="auto"/>
        <w:jc w:val="left"/>
        <w:rPr>
          <w:rFonts w:ascii="宋体" w:cs="宋体"/>
          <w:bCs/>
          <w:color w:val="auto"/>
          <w:kern w:val="0"/>
          <w:highlight w:val="none"/>
        </w:rPr>
      </w:pPr>
      <w:r>
        <w:rPr>
          <w:rFonts w:hint="eastAsia" w:ascii="宋体" w:cs="宋体"/>
          <w:bCs/>
          <w:color w:val="auto"/>
          <w:kern w:val="0"/>
          <w:highlight w:val="none"/>
        </w:rPr>
        <w:t>注：1.本表“投标报价”须与《开标一览表》中“投标报价”保持一致。</w:t>
      </w:r>
    </w:p>
    <w:p w14:paraId="7460E9EB">
      <w:pPr>
        <w:outlineLvl w:val="1"/>
        <w:rPr>
          <w:rFonts w:hint="eastAsia" w:ascii="宋体" w:hAnsi="宋体" w:eastAsia="宋体" w:cs="宋体"/>
          <w:b/>
          <w:bCs/>
          <w:color w:val="auto"/>
          <w:sz w:val="18"/>
          <w:szCs w:val="20"/>
          <w:highlight w:val="none"/>
          <w:lang w:val="en-US" w:eastAsia="zh-CN"/>
        </w:rPr>
        <w:sectPr>
          <w:pgSz w:w="11906" w:h="16838"/>
          <w:pgMar w:top="1440" w:right="1486" w:bottom="1440" w:left="1180" w:header="851" w:footer="992" w:gutter="0"/>
          <w:pgNumType w:fmt="decimal"/>
          <w:cols w:space="720" w:num="1"/>
          <w:docGrid w:linePitch="360" w:charSpace="0"/>
        </w:sectPr>
      </w:pPr>
    </w:p>
    <w:p w14:paraId="504283FB">
      <w:pPr>
        <w:pStyle w:val="194"/>
        <w:keepNext/>
        <w:keepLines/>
        <w:pageBreakBefore w:val="0"/>
        <w:widowControl w:val="0"/>
        <w:kinsoku/>
        <w:wordWrap/>
        <w:overflowPunct/>
        <w:topLinePunct w:val="0"/>
        <w:autoSpaceDE/>
        <w:autoSpaceDN/>
        <w:bidi w:val="0"/>
        <w:adjustRightInd/>
        <w:snapToGrid/>
        <w:spacing w:line="240" w:lineRule="atLeast"/>
        <w:textAlignment w:val="auto"/>
        <w:rPr>
          <w:rFonts w:hint="eastAsia" w:ascii="宋体" w:hAnsi="宋体" w:eastAsia="宋体"/>
          <w:color w:val="auto"/>
          <w:sz w:val="32"/>
          <w:szCs w:val="32"/>
          <w:highlight w:val="none"/>
        </w:rPr>
      </w:pPr>
      <w:bookmarkStart w:id="75" w:name="_Toc15258"/>
      <w:r>
        <w:rPr>
          <w:rFonts w:hint="eastAsia" w:ascii="宋体" w:hAnsi="宋体" w:eastAsia="宋体"/>
          <w:color w:val="auto"/>
          <w:sz w:val="32"/>
          <w:highlight w:val="none"/>
        </w:rPr>
        <w:t>六、技术参数响应及偏离表</w:t>
      </w:r>
      <w:bookmarkEnd w:id="75"/>
    </w:p>
    <w:tbl>
      <w:tblPr>
        <w:tblStyle w:val="39"/>
        <w:tblpPr w:leftFromText="180" w:rightFromText="180" w:vertAnchor="text" w:horzAnchor="page" w:tblpX="1044" w:tblpY="458"/>
        <w:tblOverlap w:val="never"/>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
        <w:gridCol w:w="1268"/>
        <w:gridCol w:w="4477"/>
        <w:gridCol w:w="1075"/>
        <w:gridCol w:w="661"/>
        <w:gridCol w:w="1398"/>
        <w:gridCol w:w="564"/>
      </w:tblGrid>
      <w:tr w14:paraId="61E2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blHeader/>
        </w:trPr>
        <w:tc>
          <w:tcPr>
            <w:tcW w:w="413" w:type="dxa"/>
            <w:vAlign w:val="center"/>
          </w:tcPr>
          <w:p w14:paraId="26171D78">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序号</w:t>
            </w:r>
          </w:p>
        </w:tc>
        <w:tc>
          <w:tcPr>
            <w:tcW w:w="1268" w:type="dxa"/>
            <w:vAlign w:val="center"/>
          </w:tcPr>
          <w:p w14:paraId="78723E60">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招标文件条款号及内容</w:t>
            </w:r>
          </w:p>
        </w:tc>
        <w:tc>
          <w:tcPr>
            <w:tcW w:w="4477" w:type="dxa"/>
            <w:vAlign w:val="center"/>
          </w:tcPr>
          <w:p w14:paraId="2FF9F75C">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招标文件条款具体内容</w:t>
            </w:r>
          </w:p>
        </w:tc>
        <w:tc>
          <w:tcPr>
            <w:tcW w:w="1075" w:type="dxa"/>
            <w:vAlign w:val="center"/>
          </w:tcPr>
          <w:p w14:paraId="218D9A1F">
            <w:pPr>
              <w:pStyle w:val="22"/>
              <w:tabs>
                <w:tab w:val="left" w:pos="630"/>
              </w:tabs>
              <w:snapToGrid w:val="0"/>
              <w:spacing w:after="0"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投标文件对应内容</w:t>
            </w:r>
          </w:p>
        </w:tc>
        <w:tc>
          <w:tcPr>
            <w:tcW w:w="661" w:type="dxa"/>
            <w:vAlign w:val="center"/>
          </w:tcPr>
          <w:p w14:paraId="35BD275F">
            <w:pPr>
              <w:pStyle w:val="22"/>
              <w:tabs>
                <w:tab w:val="left" w:pos="630"/>
              </w:tabs>
              <w:snapToGrid w:val="0"/>
              <w:spacing w:after="0"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偏离说明</w:t>
            </w:r>
          </w:p>
        </w:tc>
        <w:tc>
          <w:tcPr>
            <w:tcW w:w="1398" w:type="dxa"/>
            <w:vAlign w:val="center"/>
          </w:tcPr>
          <w:p w14:paraId="4E7AFF76">
            <w:pPr>
              <w:pStyle w:val="22"/>
              <w:tabs>
                <w:tab w:val="left" w:pos="630"/>
              </w:tabs>
              <w:snapToGrid w:val="0"/>
              <w:spacing w:after="0"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对应的技术支持资料位置指向（页码）</w:t>
            </w:r>
          </w:p>
        </w:tc>
        <w:tc>
          <w:tcPr>
            <w:tcW w:w="564" w:type="dxa"/>
            <w:vAlign w:val="center"/>
          </w:tcPr>
          <w:p w14:paraId="048C461B">
            <w:pPr>
              <w:pStyle w:val="22"/>
              <w:tabs>
                <w:tab w:val="left" w:pos="630"/>
              </w:tabs>
              <w:snapToGrid w:val="0"/>
              <w:spacing w:after="0"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备注</w:t>
            </w:r>
          </w:p>
        </w:tc>
      </w:tr>
      <w:tr w14:paraId="0BDC3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5889C56">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1</w:t>
            </w:r>
          </w:p>
        </w:tc>
        <w:tc>
          <w:tcPr>
            <w:tcW w:w="1268" w:type="dxa"/>
            <w:vAlign w:val="center"/>
          </w:tcPr>
          <w:p w14:paraId="2C1168E5">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一、采购清单：</w:t>
            </w:r>
          </w:p>
        </w:tc>
        <w:tc>
          <w:tcPr>
            <w:tcW w:w="4477" w:type="dxa"/>
            <w:vAlign w:val="center"/>
          </w:tcPr>
          <w:tbl>
            <w:tblPr>
              <w:tblStyle w:val="38"/>
              <w:tblW w:w="49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5"/>
              <w:gridCol w:w="1027"/>
              <w:gridCol w:w="400"/>
              <w:gridCol w:w="664"/>
              <w:gridCol w:w="782"/>
              <w:gridCol w:w="745"/>
              <w:gridCol w:w="300"/>
            </w:tblGrid>
            <w:tr w14:paraId="09CAE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327" w:type="pct"/>
                  <w:noWrap w:val="0"/>
                  <w:tcMar>
                    <w:top w:w="0" w:type="dxa"/>
                    <w:left w:w="108" w:type="dxa"/>
                    <w:bottom w:w="0" w:type="dxa"/>
                    <w:right w:w="108" w:type="dxa"/>
                  </w:tcMar>
                  <w:vAlign w:val="center"/>
                </w:tcPr>
                <w:p w14:paraId="09DD057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 w:val="18"/>
                      <w:szCs w:val="18"/>
                      <w:highlight w:val="none"/>
                    </w:rPr>
                  </w:pPr>
                  <w:r>
                    <w:rPr>
                      <w:rFonts w:ascii="宋体" w:hAnsi="宋体" w:cs="宋体"/>
                      <w:color w:val="auto"/>
                      <w:sz w:val="18"/>
                      <w:szCs w:val="18"/>
                      <w:highlight w:val="none"/>
                    </w:rPr>
                    <w:t>包号</w:t>
                  </w:r>
                </w:p>
              </w:tc>
              <w:tc>
                <w:tcPr>
                  <w:tcW w:w="1224" w:type="pct"/>
                  <w:noWrap w:val="0"/>
                  <w:tcMar>
                    <w:top w:w="0" w:type="dxa"/>
                    <w:left w:w="108" w:type="dxa"/>
                    <w:bottom w:w="0" w:type="dxa"/>
                    <w:right w:w="108" w:type="dxa"/>
                  </w:tcMar>
                  <w:vAlign w:val="center"/>
                </w:tcPr>
                <w:p w14:paraId="4CAA9E0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 w:val="18"/>
                      <w:szCs w:val="18"/>
                      <w:highlight w:val="none"/>
                    </w:rPr>
                  </w:pPr>
                  <w:r>
                    <w:rPr>
                      <w:rFonts w:hint="eastAsia" w:ascii="宋体" w:hAnsi="宋体" w:cs="宋体"/>
                      <w:color w:val="auto"/>
                      <w:sz w:val="18"/>
                      <w:szCs w:val="18"/>
                      <w:highlight w:val="none"/>
                      <w:lang w:val="en-US" w:eastAsia="zh-CN"/>
                    </w:rPr>
                    <w:t>标的</w:t>
                  </w:r>
                  <w:r>
                    <w:rPr>
                      <w:rFonts w:ascii="宋体" w:hAnsi="宋体" w:cs="宋体"/>
                      <w:color w:val="auto"/>
                      <w:sz w:val="18"/>
                      <w:szCs w:val="18"/>
                      <w:highlight w:val="none"/>
                    </w:rPr>
                    <w:t>名称</w:t>
                  </w:r>
                </w:p>
              </w:tc>
              <w:tc>
                <w:tcPr>
                  <w:tcW w:w="476" w:type="pct"/>
                  <w:noWrap w:val="0"/>
                  <w:tcMar>
                    <w:top w:w="0" w:type="dxa"/>
                    <w:left w:w="108" w:type="dxa"/>
                    <w:bottom w:w="0" w:type="dxa"/>
                    <w:right w:w="108" w:type="dxa"/>
                  </w:tcMar>
                  <w:vAlign w:val="center"/>
                </w:tcPr>
                <w:p w14:paraId="22FFEC8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 w:val="18"/>
                      <w:szCs w:val="18"/>
                      <w:highlight w:val="none"/>
                    </w:rPr>
                  </w:pPr>
                  <w:r>
                    <w:rPr>
                      <w:rFonts w:ascii="宋体" w:hAnsi="宋体" w:cs="宋体"/>
                      <w:color w:val="auto"/>
                      <w:sz w:val="18"/>
                      <w:szCs w:val="18"/>
                      <w:highlight w:val="none"/>
                    </w:rPr>
                    <w:t>数量</w:t>
                  </w:r>
                </w:p>
              </w:tc>
              <w:tc>
                <w:tcPr>
                  <w:tcW w:w="791" w:type="pct"/>
                  <w:noWrap w:val="0"/>
                  <w:tcMar>
                    <w:top w:w="0" w:type="dxa"/>
                    <w:left w:w="108" w:type="dxa"/>
                    <w:bottom w:w="0" w:type="dxa"/>
                    <w:right w:w="108" w:type="dxa"/>
                  </w:tcMar>
                  <w:vAlign w:val="center"/>
                </w:tcPr>
                <w:p w14:paraId="6144B40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 w:val="18"/>
                      <w:szCs w:val="18"/>
                      <w:highlight w:val="none"/>
                    </w:rPr>
                  </w:pPr>
                  <w:r>
                    <w:rPr>
                      <w:rFonts w:ascii="宋体" w:hAnsi="宋体" w:cs="宋体"/>
                      <w:color w:val="auto"/>
                      <w:sz w:val="18"/>
                      <w:szCs w:val="18"/>
                      <w:highlight w:val="none"/>
                    </w:rPr>
                    <w:t>预算金额（万元）</w:t>
                  </w:r>
                </w:p>
              </w:tc>
              <w:tc>
                <w:tcPr>
                  <w:tcW w:w="932" w:type="pct"/>
                  <w:noWrap w:val="0"/>
                  <w:vAlign w:val="center"/>
                </w:tcPr>
                <w:p w14:paraId="251DA89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rPr>
                    <w:t>最高限价</w:t>
                  </w:r>
                </w:p>
                <w:p w14:paraId="388C4292">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rPr>
                    <w:t>（万元）</w:t>
                  </w:r>
                </w:p>
              </w:tc>
              <w:tc>
                <w:tcPr>
                  <w:tcW w:w="888" w:type="pct"/>
                  <w:noWrap w:val="0"/>
                  <w:tcMar>
                    <w:top w:w="0" w:type="dxa"/>
                    <w:left w:w="108" w:type="dxa"/>
                    <w:bottom w:w="0" w:type="dxa"/>
                    <w:right w:w="108" w:type="dxa"/>
                  </w:tcMar>
                  <w:vAlign w:val="center"/>
                </w:tcPr>
                <w:p w14:paraId="09F8836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color w:val="auto"/>
                      <w:sz w:val="18"/>
                      <w:szCs w:val="18"/>
                      <w:highlight w:val="none"/>
                    </w:rPr>
                  </w:pPr>
                  <w:r>
                    <w:rPr>
                      <w:rFonts w:ascii="宋体" w:hAnsi="宋体" w:cs="宋体"/>
                      <w:color w:val="auto"/>
                      <w:sz w:val="18"/>
                      <w:szCs w:val="18"/>
                      <w:highlight w:val="none"/>
                    </w:rPr>
                    <w:t>是否接受进口产品</w:t>
                  </w:r>
                </w:p>
              </w:tc>
              <w:tc>
                <w:tcPr>
                  <w:tcW w:w="357" w:type="pct"/>
                  <w:noWrap w:val="0"/>
                  <w:vAlign w:val="center"/>
                </w:tcPr>
                <w:p w14:paraId="190E025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ascii="宋体" w:hAnsi="宋体" w:cs="宋体"/>
                      <w:color w:val="auto"/>
                      <w:sz w:val="18"/>
                      <w:szCs w:val="18"/>
                      <w:highlight w:val="none"/>
                    </w:rPr>
                  </w:pPr>
                  <w:r>
                    <w:rPr>
                      <w:rFonts w:hint="eastAsia" w:ascii="宋体" w:hAnsi="宋体" w:cs="宋体"/>
                      <w:color w:val="auto"/>
                      <w:sz w:val="18"/>
                      <w:szCs w:val="18"/>
                      <w:highlight w:val="none"/>
                    </w:rPr>
                    <w:t>备注</w:t>
                  </w:r>
                </w:p>
              </w:tc>
            </w:tr>
            <w:tr w14:paraId="11D32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27" w:type="pct"/>
                  <w:noWrap w:val="0"/>
                  <w:tcMar>
                    <w:top w:w="0" w:type="dxa"/>
                    <w:left w:w="108" w:type="dxa"/>
                    <w:bottom w:w="0" w:type="dxa"/>
                    <w:right w:w="108" w:type="dxa"/>
                  </w:tcMar>
                  <w:vAlign w:val="center"/>
                </w:tcPr>
                <w:p w14:paraId="08C9D23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sz w:val="18"/>
                      <w:szCs w:val="18"/>
                      <w:highlight w:val="none"/>
                    </w:rPr>
                  </w:pPr>
                  <w:r>
                    <w:rPr>
                      <w:rFonts w:ascii="宋体" w:hAnsi="宋体" w:cs="宋体"/>
                      <w:color w:val="auto"/>
                      <w:sz w:val="18"/>
                      <w:szCs w:val="18"/>
                      <w:highlight w:val="none"/>
                    </w:rPr>
                    <w:t>1</w:t>
                  </w:r>
                </w:p>
              </w:tc>
              <w:tc>
                <w:tcPr>
                  <w:tcW w:w="1224" w:type="pct"/>
                  <w:noWrap w:val="0"/>
                  <w:tcMar>
                    <w:top w:w="0" w:type="dxa"/>
                    <w:left w:w="108" w:type="dxa"/>
                    <w:bottom w:w="0" w:type="dxa"/>
                    <w:right w:w="108" w:type="dxa"/>
                  </w:tcMar>
                  <w:vAlign w:val="center"/>
                </w:tcPr>
                <w:p w14:paraId="3E0AD2C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eastAsia="zh-CN"/>
                    </w:rPr>
                    <w:t>光学相干断层扫描仪</w:t>
                  </w:r>
                </w:p>
              </w:tc>
              <w:tc>
                <w:tcPr>
                  <w:tcW w:w="476" w:type="pct"/>
                  <w:noWrap w:val="0"/>
                  <w:tcMar>
                    <w:top w:w="0" w:type="dxa"/>
                    <w:left w:w="108" w:type="dxa"/>
                    <w:bottom w:w="0" w:type="dxa"/>
                    <w:right w:w="108" w:type="dxa"/>
                  </w:tcMar>
                  <w:vAlign w:val="center"/>
                </w:tcPr>
                <w:p w14:paraId="31330A6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sz w:val="18"/>
                      <w:szCs w:val="18"/>
                      <w:highlight w:val="none"/>
                    </w:rPr>
                  </w:pPr>
                  <w:r>
                    <w:rPr>
                      <w:rFonts w:hint="eastAsia" w:ascii="宋体" w:hAnsi="宋体" w:cs="宋体"/>
                      <w:color w:val="auto"/>
                      <w:sz w:val="18"/>
                      <w:szCs w:val="18"/>
                      <w:highlight w:val="none"/>
                    </w:rPr>
                    <w:t>1套</w:t>
                  </w:r>
                </w:p>
              </w:tc>
              <w:tc>
                <w:tcPr>
                  <w:tcW w:w="791" w:type="pct"/>
                  <w:noWrap w:val="0"/>
                  <w:tcMar>
                    <w:top w:w="0" w:type="dxa"/>
                    <w:left w:w="108" w:type="dxa"/>
                    <w:bottom w:w="0" w:type="dxa"/>
                    <w:right w:w="108" w:type="dxa"/>
                  </w:tcMar>
                  <w:vAlign w:val="center"/>
                </w:tcPr>
                <w:p w14:paraId="6EF173C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150</w:t>
                  </w:r>
                </w:p>
              </w:tc>
              <w:tc>
                <w:tcPr>
                  <w:tcW w:w="932" w:type="pct"/>
                  <w:noWrap w:val="0"/>
                  <w:vAlign w:val="center"/>
                </w:tcPr>
                <w:p w14:paraId="566E29B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150</w:t>
                  </w:r>
                </w:p>
              </w:tc>
              <w:tc>
                <w:tcPr>
                  <w:tcW w:w="888" w:type="pct"/>
                  <w:noWrap w:val="0"/>
                  <w:tcMar>
                    <w:top w:w="0" w:type="dxa"/>
                    <w:left w:w="108" w:type="dxa"/>
                    <w:bottom w:w="0" w:type="dxa"/>
                    <w:right w:w="108" w:type="dxa"/>
                  </w:tcMar>
                  <w:vAlign w:val="center"/>
                </w:tcPr>
                <w:p w14:paraId="1F9C7E7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sz w:val="18"/>
                      <w:szCs w:val="18"/>
                      <w:highlight w:val="none"/>
                    </w:rPr>
                  </w:pPr>
                  <w:r>
                    <w:rPr>
                      <w:rFonts w:hint="eastAsia" w:ascii="宋体" w:hAnsi="宋体" w:cs="宋体"/>
                      <w:color w:val="auto"/>
                      <w:sz w:val="18"/>
                      <w:szCs w:val="18"/>
                      <w:highlight w:val="none"/>
                    </w:rPr>
                    <w:t>不接受</w:t>
                  </w:r>
                </w:p>
              </w:tc>
              <w:tc>
                <w:tcPr>
                  <w:tcW w:w="357" w:type="pct"/>
                  <w:noWrap w:val="0"/>
                  <w:vAlign w:val="center"/>
                </w:tcPr>
                <w:p w14:paraId="2D9E0CE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00" w:lineRule="auto"/>
                    <w:jc w:val="center"/>
                    <w:textAlignment w:val="auto"/>
                    <w:rPr>
                      <w:rFonts w:hint="eastAsia" w:ascii="宋体" w:hAnsi="宋体" w:cs="宋体"/>
                      <w:color w:val="auto"/>
                      <w:sz w:val="18"/>
                      <w:szCs w:val="18"/>
                      <w:highlight w:val="none"/>
                    </w:rPr>
                  </w:pPr>
                  <w:r>
                    <w:rPr>
                      <w:rFonts w:hint="eastAsia" w:ascii="宋体" w:hAnsi="宋体" w:cs="宋体"/>
                      <w:color w:val="auto"/>
                      <w:sz w:val="18"/>
                      <w:szCs w:val="18"/>
                      <w:highlight w:val="none"/>
                    </w:rPr>
                    <w:t>/</w:t>
                  </w:r>
                </w:p>
              </w:tc>
            </w:tr>
          </w:tbl>
          <w:p w14:paraId="61448AE9">
            <w:pPr>
              <w:pStyle w:val="15"/>
              <w:adjustRightInd w:val="0"/>
              <w:snapToGrid w:val="0"/>
              <w:spacing w:line="240" w:lineRule="auto"/>
              <w:rPr>
                <w:color w:val="auto"/>
                <w:sz w:val="18"/>
                <w:szCs w:val="18"/>
                <w:highlight w:val="none"/>
              </w:rPr>
            </w:pPr>
          </w:p>
        </w:tc>
        <w:tc>
          <w:tcPr>
            <w:tcW w:w="1075" w:type="dxa"/>
          </w:tcPr>
          <w:p w14:paraId="038D69C0">
            <w:pPr>
              <w:pStyle w:val="15"/>
              <w:adjustRightInd w:val="0"/>
              <w:snapToGrid w:val="0"/>
              <w:spacing w:line="240" w:lineRule="auto"/>
              <w:rPr>
                <w:color w:val="auto"/>
                <w:sz w:val="18"/>
                <w:szCs w:val="18"/>
                <w:highlight w:val="none"/>
              </w:rPr>
            </w:pPr>
          </w:p>
        </w:tc>
        <w:tc>
          <w:tcPr>
            <w:tcW w:w="661" w:type="dxa"/>
          </w:tcPr>
          <w:p w14:paraId="75AD3A8C">
            <w:pPr>
              <w:pStyle w:val="15"/>
              <w:adjustRightInd w:val="0"/>
              <w:snapToGrid w:val="0"/>
              <w:spacing w:line="240" w:lineRule="auto"/>
              <w:rPr>
                <w:color w:val="auto"/>
                <w:sz w:val="18"/>
                <w:szCs w:val="18"/>
                <w:highlight w:val="none"/>
              </w:rPr>
            </w:pPr>
          </w:p>
        </w:tc>
        <w:tc>
          <w:tcPr>
            <w:tcW w:w="1398" w:type="dxa"/>
          </w:tcPr>
          <w:p w14:paraId="6FFCA45E">
            <w:pPr>
              <w:pStyle w:val="15"/>
              <w:adjustRightInd w:val="0"/>
              <w:snapToGrid w:val="0"/>
              <w:spacing w:line="240" w:lineRule="auto"/>
              <w:rPr>
                <w:color w:val="auto"/>
                <w:sz w:val="18"/>
                <w:szCs w:val="18"/>
                <w:highlight w:val="none"/>
              </w:rPr>
            </w:pPr>
          </w:p>
        </w:tc>
        <w:tc>
          <w:tcPr>
            <w:tcW w:w="564" w:type="dxa"/>
          </w:tcPr>
          <w:p w14:paraId="5B45BA7E">
            <w:pPr>
              <w:pStyle w:val="15"/>
              <w:adjustRightInd w:val="0"/>
              <w:snapToGrid w:val="0"/>
              <w:spacing w:line="240" w:lineRule="auto"/>
              <w:rPr>
                <w:color w:val="auto"/>
                <w:sz w:val="18"/>
                <w:szCs w:val="18"/>
                <w:highlight w:val="none"/>
              </w:rPr>
            </w:pPr>
          </w:p>
        </w:tc>
      </w:tr>
      <w:tr w14:paraId="1963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1154689">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2</w:t>
            </w:r>
          </w:p>
        </w:tc>
        <w:tc>
          <w:tcPr>
            <w:tcW w:w="1268" w:type="dxa"/>
            <w:vAlign w:val="center"/>
          </w:tcPr>
          <w:p w14:paraId="53B5FE2D">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二、临床用途与需求说明：</w:t>
            </w:r>
          </w:p>
        </w:tc>
        <w:tc>
          <w:tcPr>
            <w:tcW w:w="4477" w:type="dxa"/>
            <w:vAlign w:val="center"/>
          </w:tcPr>
          <w:p w14:paraId="71646ED2">
            <w:pPr>
              <w:pStyle w:val="22"/>
              <w:tabs>
                <w:tab w:val="left" w:pos="630"/>
              </w:tabs>
              <w:snapToGrid w:val="0"/>
              <w:spacing w:after="0" w:line="240" w:lineRule="auto"/>
              <w:rPr>
                <w:color w:val="auto"/>
                <w:sz w:val="18"/>
                <w:szCs w:val="18"/>
                <w:highlight w:val="none"/>
              </w:rPr>
            </w:pPr>
            <w:r>
              <w:rPr>
                <w:rFonts w:hint="eastAsia"/>
                <w:color w:val="auto"/>
                <w:sz w:val="18"/>
                <w:szCs w:val="18"/>
                <w:highlight w:val="none"/>
              </w:rPr>
              <w:t>光学相干断层扫描仪是无创、快速、非接触式检查，适用于眼科眼前节、眼后节断层成像检查及眼后节血流检查，提高患者依从性，提高诊疗效率，结合设备量化分析功能，对疾病诊疗实现从定性诊断到定量管理的转变。</w:t>
            </w:r>
          </w:p>
        </w:tc>
        <w:tc>
          <w:tcPr>
            <w:tcW w:w="1075" w:type="dxa"/>
          </w:tcPr>
          <w:p w14:paraId="1DDE5F64">
            <w:pPr>
              <w:pStyle w:val="15"/>
              <w:adjustRightInd w:val="0"/>
              <w:snapToGrid w:val="0"/>
              <w:spacing w:line="240" w:lineRule="auto"/>
              <w:rPr>
                <w:color w:val="auto"/>
                <w:sz w:val="18"/>
                <w:szCs w:val="18"/>
                <w:highlight w:val="none"/>
              </w:rPr>
            </w:pPr>
          </w:p>
        </w:tc>
        <w:tc>
          <w:tcPr>
            <w:tcW w:w="661" w:type="dxa"/>
          </w:tcPr>
          <w:p w14:paraId="4EC47DE8">
            <w:pPr>
              <w:pStyle w:val="15"/>
              <w:adjustRightInd w:val="0"/>
              <w:snapToGrid w:val="0"/>
              <w:spacing w:line="240" w:lineRule="auto"/>
              <w:rPr>
                <w:color w:val="auto"/>
                <w:sz w:val="18"/>
                <w:szCs w:val="18"/>
                <w:highlight w:val="none"/>
              </w:rPr>
            </w:pPr>
          </w:p>
        </w:tc>
        <w:tc>
          <w:tcPr>
            <w:tcW w:w="1398" w:type="dxa"/>
          </w:tcPr>
          <w:p w14:paraId="49D24B73">
            <w:pPr>
              <w:pStyle w:val="15"/>
              <w:adjustRightInd w:val="0"/>
              <w:snapToGrid w:val="0"/>
              <w:spacing w:line="240" w:lineRule="auto"/>
              <w:rPr>
                <w:color w:val="auto"/>
                <w:sz w:val="18"/>
                <w:szCs w:val="18"/>
                <w:highlight w:val="none"/>
              </w:rPr>
            </w:pPr>
          </w:p>
        </w:tc>
        <w:tc>
          <w:tcPr>
            <w:tcW w:w="564" w:type="dxa"/>
          </w:tcPr>
          <w:p w14:paraId="736688BB">
            <w:pPr>
              <w:pStyle w:val="15"/>
              <w:adjustRightInd w:val="0"/>
              <w:snapToGrid w:val="0"/>
              <w:spacing w:line="240" w:lineRule="auto"/>
              <w:rPr>
                <w:color w:val="auto"/>
                <w:sz w:val="18"/>
                <w:szCs w:val="18"/>
                <w:highlight w:val="none"/>
              </w:rPr>
            </w:pPr>
          </w:p>
        </w:tc>
      </w:tr>
      <w:tr w14:paraId="2307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1203C0D7">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3</w:t>
            </w:r>
          </w:p>
        </w:tc>
        <w:tc>
          <w:tcPr>
            <w:tcW w:w="1268" w:type="dxa"/>
            <w:vMerge w:val="restart"/>
            <w:vAlign w:val="center"/>
          </w:tcPr>
          <w:p w14:paraId="20B9D980">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三、技术参数要求：（一）设备功能：</w:t>
            </w:r>
          </w:p>
        </w:tc>
        <w:tc>
          <w:tcPr>
            <w:tcW w:w="4477" w:type="dxa"/>
            <w:vAlign w:val="center"/>
          </w:tcPr>
          <w:p w14:paraId="3CD710C5">
            <w:pPr>
              <w:pStyle w:val="22"/>
              <w:tabs>
                <w:tab w:val="left" w:pos="630"/>
              </w:tabs>
              <w:snapToGrid w:val="0"/>
              <w:spacing w:after="0" w:line="240" w:lineRule="auto"/>
              <w:rPr>
                <w:rFonts w:hint="eastAsia"/>
                <w:color w:val="auto"/>
                <w:sz w:val="18"/>
                <w:szCs w:val="18"/>
                <w:highlight w:val="none"/>
              </w:rPr>
            </w:pPr>
            <w:r>
              <w:rPr>
                <w:rFonts w:hint="eastAsia"/>
                <w:color w:val="auto"/>
                <w:sz w:val="18"/>
                <w:szCs w:val="18"/>
                <w:highlight w:val="none"/>
              </w:rPr>
              <w:t>1、注册证适用范围：必须明确具有眼前节断层成像检查或房角、前房成像检查功能。(提供产品注册证证明文件)</w:t>
            </w:r>
          </w:p>
        </w:tc>
        <w:tc>
          <w:tcPr>
            <w:tcW w:w="1075" w:type="dxa"/>
          </w:tcPr>
          <w:p w14:paraId="46F17D0A">
            <w:pPr>
              <w:pStyle w:val="15"/>
              <w:adjustRightInd w:val="0"/>
              <w:snapToGrid w:val="0"/>
              <w:spacing w:line="240" w:lineRule="auto"/>
              <w:rPr>
                <w:color w:val="auto"/>
                <w:sz w:val="18"/>
                <w:szCs w:val="18"/>
                <w:highlight w:val="none"/>
              </w:rPr>
            </w:pPr>
          </w:p>
        </w:tc>
        <w:tc>
          <w:tcPr>
            <w:tcW w:w="661" w:type="dxa"/>
          </w:tcPr>
          <w:p w14:paraId="2D3CF52A">
            <w:pPr>
              <w:pStyle w:val="15"/>
              <w:adjustRightInd w:val="0"/>
              <w:snapToGrid w:val="0"/>
              <w:spacing w:line="240" w:lineRule="auto"/>
              <w:rPr>
                <w:color w:val="auto"/>
                <w:sz w:val="18"/>
                <w:szCs w:val="18"/>
                <w:highlight w:val="none"/>
              </w:rPr>
            </w:pPr>
          </w:p>
        </w:tc>
        <w:tc>
          <w:tcPr>
            <w:tcW w:w="1398" w:type="dxa"/>
          </w:tcPr>
          <w:p w14:paraId="7E0E76EB">
            <w:pPr>
              <w:pStyle w:val="15"/>
              <w:adjustRightInd w:val="0"/>
              <w:snapToGrid w:val="0"/>
              <w:spacing w:line="240" w:lineRule="auto"/>
              <w:rPr>
                <w:color w:val="auto"/>
                <w:sz w:val="18"/>
                <w:szCs w:val="18"/>
                <w:highlight w:val="none"/>
              </w:rPr>
            </w:pPr>
          </w:p>
        </w:tc>
        <w:tc>
          <w:tcPr>
            <w:tcW w:w="564" w:type="dxa"/>
          </w:tcPr>
          <w:p w14:paraId="62BD8385">
            <w:pPr>
              <w:pStyle w:val="15"/>
              <w:adjustRightInd w:val="0"/>
              <w:snapToGrid w:val="0"/>
              <w:spacing w:line="240" w:lineRule="auto"/>
              <w:rPr>
                <w:color w:val="auto"/>
                <w:sz w:val="18"/>
                <w:szCs w:val="18"/>
                <w:highlight w:val="none"/>
              </w:rPr>
            </w:pPr>
          </w:p>
        </w:tc>
      </w:tr>
      <w:tr w14:paraId="0BC4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A44F668">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4</w:t>
            </w:r>
          </w:p>
        </w:tc>
        <w:tc>
          <w:tcPr>
            <w:tcW w:w="1268" w:type="dxa"/>
            <w:vMerge w:val="continue"/>
            <w:vAlign w:val="center"/>
          </w:tcPr>
          <w:p w14:paraId="49AAEA86">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10483227">
            <w:pPr>
              <w:pStyle w:val="22"/>
              <w:tabs>
                <w:tab w:val="left" w:pos="630"/>
              </w:tabs>
              <w:snapToGrid w:val="0"/>
              <w:spacing w:after="0" w:line="240" w:lineRule="auto"/>
              <w:rPr>
                <w:rFonts w:hint="eastAsia"/>
                <w:color w:val="auto"/>
                <w:sz w:val="18"/>
                <w:szCs w:val="18"/>
                <w:highlight w:val="none"/>
              </w:rPr>
            </w:pPr>
            <w:r>
              <w:rPr>
                <w:rFonts w:hint="eastAsia"/>
                <w:color w:val="auto"/>
                <w:sz w:val="18"/>
                <w:szCs w:val="18"/>
                <w:highlight w:val="none"/>
              </w:rPr>
              <w:t>2、★注册证中结构及组成/主要组成成分：必须明确包含眼前节适配器</w:t>
            </w:r>
            <w:r>
              <w:rPr>
                <w:rFonts w:hint="eastAsia"/>
                <w:color w:val="auto"/>
                <w:sz w:val="18"/>
                <w:szCs w:val="18"/>
                <w:highlight w:val="none"/>
                <w:lang w:eastAsia="zh-CN"/>
              </w:rPr>
              <w:t>。</w:t>
            </w:r>
            <w:r>
              <w:rPr>
                <w:rFonts w:hint="eastAsia"/>
                <w:color w:val="auto"/>
                <w:sz w:val="18"/>
                <w:szCs w:val="18"/>
                <w:highlight w:val="none"/>
              </w:rPr>
              <w:t>（提供产品注册证证明文件）</w:t>
            </w:r>
          </w:p>
        </w:tc>
        <w:tc>
          <w:tcPr>
            <w:tcW w:w="1075" w:type="dxa"/>
          </w:tcPr>
          <w:p w14:paraId="3697F5FF">
            <w:pPr>
              <w:pStyle w:val="15"/>
              <w:adjustRightInd w:val="0"/>
              <w:snapToGrid w:val="0"/>
              <w:spacing w:line="240" w:lineRule="auto"/>
              <w:rPr>
                <w:color w:val="auto"/>
                <w:sz w:val="18"/>
                <w:szCs w:val="18"/>
                <w:highlight w:val="none"/>
              </w:rPr>
            </w:pPr>
          </w:p>
        </w:tc>
        <w:tc>
          <w:tcPr>
            <w:tcW w:w="661" w:type="dxa"/>
          </w:tcPr>
          <w:p w14:paraId="3B95EC59">
            <w:pPr>
              <w:pStyle w:val="15"/>
              <w:adjustRightInd w:val="0"/>
              <w:snapToGrid w:val="0"/>
              <w:spacing w:line="240" w:lineRule="auto"/>
              <w:rPr>
                <w:color w:val="auto"/>
                <w:sz w:val="18"/>
                <w:szCs w:val="18"/>
                <w:highlight w:val="none"/>
              </w:rPr>
            </w:pPr>
          </w:p>
        </w:tc>
        <w:tc>
          <w:tcPr>
            <w:tcW w:w="1398" w:type="dxa"/>
          </w:tcPr>
          <w:p w14:paraId="3D63D703">
            <w:pPr>
              <w:pStyle w:val="15"/>
              <w:adjustRightInd w:val="0"/>
              <w:snapToGrid w:val="0"/>
              <w:spacing w:line="240" w:lineRule="auto"/>
              <w:rPr>
                <w:color w:val="auto"/>
                <w:sz w:val="18"/>
                <w:szCs w:val="18"/>
                <w:highlight w:val="none"/>
              </w:rPr>
            </w:pPr>
          </w:p>
        </w:tc>
        <w:tc>
          <w:tcPr>
            <w:tcW w:w="564" w:type="dxa"/>
          </w:tcPr>
          <w:p w14:paraId="0931D8FE">
            <w:pPr>
              <w:pStyle w:val="15"/>
              <w:adjustRightInd w:val="0"/>
              <w:snapToGrid w:val="0"/>
              <w:spacing w:line="240" w:lineRule="auto"/>
              <w:rPr>
                <w:color w:val="auto"/>
                <w:sz w:val="18"/>
                <w:szCs w:val="18"/>
                <w:highlight w:val="none"/>
              </w:rPr>
            </w:pPr>
          </w:p>
        </w:tc>
      </w:tr>
      <w:tr w14:paraId="22C2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6F20999">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5</w:t>
            </w:r>
          </w:p>
        </w:tc>
        <w:tc>
          <w:tcPr>
            <w:tcW w:w="1268" w:type="dxa"/>
            <w:vMerge w:val="continue"/>
            <w:vAlign w:val="center"/>
          </w:tcPr>
          <w:p w14:paraId="62BD50C9">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57196C8A">
            <w:pPr>
              <w:pStyle w:val="22"/>
              <w:tabs>
                <w:tab w:val="left" w:pos="630"/>
              </w:tabs>
              <w:snapToGrid w:val="0"/>
              <w:spacing w:after="0" w:line="240" w:lineRule="auto"/>
              <w:rPr>
                <w:rFonts w:hint="eastAsia"/>
                <w:color w:val="auto"/>
                <w:sz w:val="18"/>
                <w:szCs w:val="18"/>
                <w:highlight w:val="none"/>
              </w:rPr>
            </w:pPr>
            <w:r>
              <w:rPr>
                <w:rFonts w:hint="eastAsia"/>
                <w:color w:val="auto"/>
                <w:sz w:val="18"/>
                <w:szCs w:val="18"/>
                <w:highlight w:val="none"/>
              </w:rPr>
              <w:t>3、▲OCT操作：</w:t>
            </w:r>
            <w:r>
              <w:rPr>
                <w:rFonts w:hint="eastAsia"/>
                <w:color w:val="auto"/>
                <w:sz w:val="18"/>
                <w:szCs w:val="18"/>
                <w:highlight w:val="none"/>
                <w:lang w:val="en-US" w:eastAsia="zh-CN"/>
              </w:rPr>
              <w:t>操作系统为</w:t>
            </w:r>
            <w:r>
              <w:rPr>
                <w:rFonts w:hint="eastAsia"/>
                <w:color w:val="auto"/>
                <w:sz w:val="18"/>
                <w:szCs w:val="18"/>
                <w:highlight w:val="none"/>
              </w:rPr>
              <w:t>中文系统，纯鼠标操作设备，无需手动摇杆操作设备</w:t>
            </w:r>
            <w:r>
              <w:rPr>
                <w:rFonts w:hint="eastAsia"/>
                <w:color w:val="auto"/>
                <w:sz w:val="18"/>
                <w:szCs w:val="18"/>
                <w:highlight w:val="none"/>
                <w:lang w:eastAsia="zh-CN"/>
              </w:rPr>
              <w:t>。（</w:t>
            </w:r>
            <w:r>
              <w:rPr>
                <w:rFonts w:hint="eastAsia"/>
                <w:color w:val="auto"/>
                <w:sz w:val="18"/>
                <w:szCs w:val="18"/>
                <w:highlight w:val="none"/>
                <w:lang w:val="en-US" w:eastAsia="zh-CN"/>
              </w:rPr>
              <w:t>提供相关证明材料</w:t>
            </w:r>
            <w:r>
              <w:rPr>
                <w:rFonts w:hint="eastAsia"/>
                <w:color w:val="auto"/>
                <w:sz w:val="18"/>
                <w:szCs w:val="18"/>
                <w:highlight w:val="none"/>
                <w:lang w:eastAsia="zh-CN"/>
              </w:rPr>
              <w:t>）</w:t>
            </w:r>
          </w:p>
        </w:tc>
        <w:tc>
          <w:tcPr>
            <w:tcW w:w="1075" w:type="dxa"/>
          </w:tcPr>
          <w:p w14:paraId="13F0E0E2">
            <w:pPr>
              <w:pStyle w:val="15"/>
              <w:adjustRightInd w:val="0"/>
              <w:snapToGrid w:val="0"/>
              <w:spacing w:line="240" w:lineRule="auto"/>
              <w:rPr>
                <w:color w:val="auto"/>
                <w:sz w:val="18"/>
                <w:szCs w:val="18"/>
                <w:highlight w:val="none"/>
              </w:rPr>
            </w:pPr>
          </w:p>
        </w:tc>
        <w:tc>
          <w:tcPr>
            <w:tcW w:w="661" w:type="dxa"/>
          </w:tcPr>
          <w:p w14:paraId="6243D763">
            <w:pPr>
              <w:pStyle w:val="15"/>
              <w:adjustRightInd w:val="0"/>
              <w:snapToGrid w:val="0"/>
              <w:spacing w:line="240" w:lineRule="auto"/>
              <w:rPr>
                <w:color w:val="auto"/>
                <w:sz w:val="18"/>
                <w:szCs w:val="18"/>
                <w:highlight w:val="none"/>
              </w:rPr>
            </w:pPr>
          </w:p>
        </w:tc>
        <w:tc>
          <w:tcPr>
            <w:tcW w:w="1398" w:type="dxa"/>
          </w:tcPr>
          <w:p w14:paraId="37185D99">
            <w:pPr>
              <w:pStyle w:val="15"/>
              <w:adjustRightInd w:val="0"/>
              <w:snapToGrid w:val="0"/>
              <w:spacing w:line="240" w:lineRule="auto"/>
              <w:rPr>
                <w:color w:val="auto"/>
                <w:sz w:val="18"/>
                <w:szCs w:val="18"/>
                <w:highlight w:val="none"/>
              </w:rPr>
            </w:pPr>
          </w:p>
        </w:tc>
        <w:tc>
          <w:tcPr>
            <w:tcW w:w="564" w:type="dxa"/>
          </w:tcPr>
          <w:p w14:paraId="4B12F43C">
            <w:pPr>
              <w:pStyle w:val="15"/>
              <w:adjustRightInd w:val="0"/>
              <w:snapToGrid w:val="0"/>
              <w:spacing w:line="240" w:lineRule="auto"/>
              <w:rPr>
                <w:color w:val="auto"/>
                <w:sz w:val="18"/>
                <w:szCs w:val="18"/>
                <w:highlight w:val="none"/>
              </w:rPr>
            </w:pPr>
          </w:p>
        </w:tc>
      </w:tr>
      <w:tr w14:paraId="02B86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5F02FAE">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6</w:t>
            </w:r>
          </w:p>
        </w:tc>
        <w:tc>
          <w:tcPr>
            <w:tcW w:w="1268" w:type="dxa"/>
            <w:vMerge w:val="restart"/>
            <w:vAlign w:val="center"/>
          </w:tcPr>
          <w:p w14:paraId="45A8FE73">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三、技术参数要求：（二）OCT成像：</w:t>
            </w:r>
          </w:p>
        </w:tc>
        <w:tc>
          <w:tcPr>
            <w:tcW w:w="4477" w:type="dxa"/>
            <w:vAlign w:val="center"/>
          </w:tcPr>
          <w:p w14:paraId="04482288">
            <w:pPr>
              <w:keepNext w:val="0"/>
              <w:keepLines w:val="0"/>
              <w:pageBreakBefore w:val="0"/>
              <w:kinsoku/>
              <w:wordWrap/>
              <w:overflowPunct/>
              <w:topLinePunct w:val="0"/>
              <w:autoSpaceDE/>
              <w:autoSpaceDN/>
              <w:bidi w:val="0"/>
              <w:adjustRightInd/>
              <w:snapToGrid/>
              <w:spacing w:after="0" w:line="300" w:lineRule="auto"/>
              <w:textAlignment w:val="auto"/>
              <w:rPr>
                <w:color w:val="auto"/>
                <w:sz w:val="18"/>
                <w:szCs w:val="18"/>
                <w:highlight w:val="none"/>
              </w:rPr>
            </w:pPr>
            <w:r>
              <w:rPr>
                <w:rFonts w:hint="eastAsia" w:ascii="宋体" w:hAnsi="宋体" w:eastAsia="宋体" w:cs="宋体"/>
                <w:bCs/>
                <w:color w:val="auto"/>
                <w:kern w:val="0"/>
                <w:sz w:val="18"/>
                <w:szCs w:val="18"/>
                <w:highlight w:val="none"/>
                <w:shd w:val="clear" w:color="auto" w:fill="FFFFFF"/>
              </w:rPr>
              <w:t>1、OCT扫描光源：扫频激光光源</w:t>
            </w:r>
            <w:r>
              <w:rPr>
                <w:rFonts w:hint="eastAsia" w:ascii="宋体" w:hAnsi="宋体" w:cs="宋体"/>
                <w:bCs/>
                <w:color w:val="auto"/>
                <w:kern w:val="0"/>
                <w:sz w:val="18"/>
                <w:szCs w:val="18"/>
                <w:highlight w:val="none"/>
                <w:shd w:val="clear" w:color="auto" w:fill="FFFFFF"/>
                <w:lang w:eastAsia="zh-CN"/>
              </w:rPr>
              <w:t>。</w:t>
            </w:r>
          </w:p>
        </w:tc>
        <w:tc>
          <w:tcPr>
            <w:tcW w:w="1075" w:type="dxa"/>
          </w:tcPr>
          <w:p w14:paraId="53C9F3C9">
            <w:pPr>
              <w:pStyle w:val="15"/>
              <w:adjustRightInd w:val="0"/>
              <w:snapToGrid w:val="0"/>
              <w:spacing w:line="240" w:lineRule="auto"/>
              <w:rPr>
                <w:color w:val="auto"/>
                <w:sz w:val="18"/>
                <w:szCs w:val="18"/>
                <w:highlight w:val="none"/>
              </w:rPr>
            </w:pPr>
          </w:p>
        </w:tc>
        <w:tc>
          <w:tcPr>
            <w:tcW w:w="661" w:type="dxa"/>
          </w:tcPr>
          <w:p w14:paraId="74256C67">
            <w:pPr>
              <w:pStyle w:val="15"/>
              <w:adjustRightInd w:val="0"/>
              <w:snapToGrid w:val="0"/>
              <w:spacing w:line="240" w:lineRule="auto"/>
              <w:rPr>
                <w:color w:val="auto"/>
                <w:sz w:val="18"/>
                <w:szCs w:val="18"/>
                <w:highlight w:val="none"/>
              </w:rPr>
            </w:pPr>
          </w:p>
        </w:tc>
        <w:tc>
          <w:tcPr>
            <w:tcW w:w="1398" w:type="dxa"/>
          </w:tcPr>
          <w:p w14:paraId="5A4CB8D9">
            <w:pPr>
              <w:pStyle w:val="15"/>
              <w:adjustRightInd w:val="0"/>
              <w:snapToGrid w:val="0"/>
              <w:spacing w:line="240" w:lineRule="auto"/>
              <w:rPr>
                <w:color w:val="auto"/>
                <w:sz w:val="18"/>
                <w:szCs w:val="18"/>
                <w:highlight w:val="none"/>
              </w:rPr>
            </w:pPr>
          </w:p>
        </w:tc>
        <w:tc>
          <w:tcPr>
            <w:tcW w:w="564" w:type="dxa"/>
          </w:tcPr>
          <w:p w14:paraId="1104FF91">
            <w:pPr>
              <w:pStyle w:val="15"/>
              <w:adjustRightInd w:val="0"/>
              <w:snapToGrid w:val="0"/>
              <w:spacing w:line="240" w:lineRule="auto"/>
              <w:rPr>
                <w:color w:val="auto"/>
                <w:sz w:val="18"/>
                <w:szCs w:val="18"/>
                <w:highlight w:val="none"/>
              </w:rPr>
            </w:pPr>
          </w:p>
        </w:tc>
      </w:tr>
      <w:tr w14:paraId="1FF6D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A1E98A4">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7</w:t>
            </w:r>
          </w:p>
        </w:tc>
        <w:tc>
          <w:tcPr>
            <w:tcW w:w="1268" w:type="dxa"/>
            <w:vMerge w:val="continue"/>
            <w:vAlign w:val="center"/>
          </w:tcPr>
          <w:p w14:paraId="2D4291A4">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4F5B6312">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2、▲扫描速度：≥250000次A-Scan/秒</w:t>
            </w:r>
            <w:r>
              <w:rPr>
                <w:rFonts w:hint="eastAsia" w:ascii="宋体" w:hAnsi="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rPr>
              <w:t>(提供产品注册检验报告证明)</w:t>
            </w:r>
          </w:p>
        </w:tc>
        <w:tc>
          <w:tcPr>
            <w:tcW w:w="1075" w:type="dxa"/>
          </w:tcPr>
          <w:p w14:paraId="7DA887A5">
            <w:pPr>
              <w:pStyle w:val="15"/>
              <w:adjustRightInd w:val="0"/>
              <w:snapToGrid w:val="0"/>
              <w:spacing w:line="240" w:lineRule="auto"/>
              <w:rPr>
                <w:color w:val="auto"/>
                <w:sz w:val="18"/>
                <w:szCs w:val="18"/>
                <w:highlight w:val="none"/>
              </w:rPr>
            </w:pPr>
          </w:p>
        </w:tc>
        <w:tc>
          <w:tcPr>
            <w:tcW w:w="661" w:type="dxa"/>
          </w:tcPr>
          <w:p w14:paraId="13CF1AC4">
            <w:pPr>
              <w:pStyle w:val="15"/>
              <w:adjustRightInd w:val="0"/>
              <w:snapToGrid w:val="0"/>
              <w:spacing w:line="240" w:lineRule="auto"/>
              <w:rPr>
                <w:color w:val="auto"/>
                <w:sz w:val="18"/>
                <w:szCs w:val="18"/>
                <w:highlight w:val="none"/>
              </w:rPr>
            </w:pPr>
          </w:p>
        </w:tc>
        <w:tc>
          <w:tcPr>
            <w:tcW w:w="1398" w:type="dxa"/>
          </w:tcPr>
          <w:p w14:paraId="1EC31A83">
            <w:pPr>
              <w:pStyle w:val="15"/>
              <w:adjustRightInd w:val="0"/>
              <w:snapToGrid w:val="0"/>
              <w:spacing w:line="240" w:lineRule="auto"/>
              <w:rPr>
                <w:color w:val="auto"/>
                <w:sz w:val="18"/>
                <w:szCs w:val="18"/>
                <w:highlight w:val="none"/>
              </w:rPr>
            </w:pPr>
          </w:p>
        </w:tc>
        <w:tc>
          <w:tcPr>
            <w:tcW w:w="564" w:type="dxa"/>
          </w:tcPr>
          <w:p w14:paraId="79056AD2">
            <w:pPr>
              <w:pStyle w:val="15"/>
              <w:adjustRightInd w:val="0"/>
              <w:snapToGrid w:val="0"/>
              <w:spacing w:line="240" w:lineRule="auto"/>
              <w:rPr>
                <w:color w:val="auto"/>
                <w:sz w:val="18"/>
                <w:szCs w:val="18"/>
                <w:highlight w:val="none"/>
              </w:rPr>
            </w:pPr>
          </w:p>
        </w:tc>
      </w:tr>
      <w:tr w14:paraId="21BAD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18A0A6EF">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8</w:t>
            </w:r>
          </w:p>
        </w:tc>
        <w:tc>
          <w:tcPr>
            <w:tcW w:w="1268" w:type="dxa"/>
            <w:vMerge w:val="continue"/>
            <w:vAlign w:val="center"/>
          </w:tcPr>
          <w:p w14:paraId="4DA4B199">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3D186E37">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3、▲扫频激光器中心波长：≥1060nm</w:t>
            </w:r>
            <w:r>
              <w:rPr>
                <w:rFonts w:hint="eastAsia" w:ascii="宋体" w:hAnsi="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rPr>
              <w:t>(提供产品注册检验报告证明)</w:t>
            </w:r>
          </w:p>
        </w:tc>
        <w:tc>
          <w:tcPr>
            <w:tcW w:w="1075" w:type="dxa"/>
          </w:tcPr>
          <w:p w14:paraId="34C5EF3F">
            <w:pPr>
              <w:pStyle w:val="15"/>
              <w:adjustRightInd w:val="0"/>
              <w:snapToGrid w:val="0"/>
              <w:spacing w:line="240" w:lineRule="auto"/>
              <w:rPr>
                <w:color w:val="auto"/>
                <w:sz w:val="18"/>
                <w:szCs w:val="18"/>
                <w:highlight w:val="none"/>
              </w:rPr>
            </w:pPr>
          </w:p>
        </w:tc>
        <w:tc>
          <w:tcPr>
            <w:tcW w:w="661" w:type="dxa"/>
          </w:tcPr>
          <w:p w14:paraId="0A465CEC">
            <w:pPr>
              <w:pStyle w:val="15"/>
              <w:adjustRightInd w:val="0"/>
              <w:snapToGrid w:val="0"/>
              <w:spacing w:line="240" w:lineRule="auto"/>
              <w:rPr>
                <w:color w:val="auto"/>
                <w:sz w:val="18"/>
                <w:szCs w:val="18"/>
                <w:highlight w:val="none"/>
              </w:rPr>
            </w:pPr>
          </w:p>
        </w:tc>
        <w:tc>
          <w:tcPr>
            <w:tcW w:w="1398" w:type="dxa"/>
          </w:tcPr>
          <w:p w14:paraId="466B4E21">
            <w:pPr>
              <w:pStyle w:val="15"/>
              <w:adjustRightInd w:val="0"/>
              <w:snapToGrid w:val="0"/>
              <w:spacing w:line="240" w:lineRule="auto"/>
              <w:rPr>
                <w:color w:val="auto"/>
                <w:sz w:val="18"/>
                <w:szCs w:val="18"/>
                <w:highlight w:val="none"/>
              </w:rPr>
            </w:pPr>
          </w:p>
        </w:tc>
        <w:tc>
          <w:tcPr>
            <w:tcW w:w="564" w:type="dxa"/>
          </w:tcPr>
          <w:p w14:paraId="4B453B4F">
            <w:pPr>
              <w:pStyle w:val="15"/>
              <w:adjustRightInd w:val="0"/>
              <w:snapToGrid w:val="0"/>
              <w:spacing w:line="240" w:lineRule="auto"/>
              <w:rPr>
                <w:color w:val="auto"/>
                <w:sz w:val="18"/>
                <w:szCs w:val="18"/>
                <w:highlight w:val="none"/>
              </w:rPr>
            </w:pPr>
          </w:p>
        </w:tc>
      </w:tr>
      <w:tr w14:paraId="0A8E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B352424">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9</w:t>
            </w:r>
          </w:p>
        </w:tc>
        <w:tc>
          <w:tcPr>
            <w:tcW w:w="1268" w:type="dxa"/>
            <w:vMerge w:val="continue"/>
            <w:vAlign w:val="center"/>
          </w:tcPr>
          <w:p w14:paraId="6902FD16">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118D56D8">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4、眼底扫描深度：≥6 mm</w:t>
            </w:r>
            <w:r>
              <w:rPr>
                <w:rFonts w:hint="eastAsia" w:ascii="宋体" w:hAnsi="宋体" w:cs="宋体"/>
                <w:bCs/>
                <w:color w:val="auto"/>
                <w:kern w:val="0"/>
                <w:sz w:val="18"/>
                <w:szCs w:val="18"/>
                <w:highlight w:val="none"/>
                <w:shd w:val="clear" w:color="auto" w:fill="FFFFFF"/>
                <w:lang w:eastAsia="zh-CN"/>
              </w:rPr>
              <w:t>。</w:t>
            </w:r>
          </w:p>
        </w:tc>
        <w:tc>
          <w:tcPr>
            <w:tcW w:w="1075" w:type="dxa"/>
          </w:tcPr>
          <w:p w14:paraId="23782714">
            <w:pPr>
              <w:pStyle w:val="15"/>
              <w:adjustRightInd w:val="0"/>
              <w:snapToGrid w:val="0"/>
              <w:spacing w:line="240" w:lineRule="auto"/>
              <w:rPr>
                <w:color w:val="auto"/>
                <w:sz w:val="18"/>
                <w:szCs w:val="18"/>
                <w:highlight w:val="none"/>
              </w:rPr>
            </w:pPr>
          </w:p>
        </w:tc>
        <w:tc>
          <w:tcPr>
            <w:tcW w:w="661" w:type="dxa"/>
          </w:tcPr>
          <w:p w14:paraId="014B6061">
            <w:pPr>
              <w:pStyle w:val="15"/>
              <w:adjustRightInd w:val="0"/>
              <w:snapToGrid w:val="0"/>
              <w:spacing w:line="240" w:lineRule="auto"/>
              <w:rPr>
                <w:color w:val="auto"/>
                <w:sz w:val="18"/>
                <w:szCs w:val="18"/>
                <w:highlight w:val="none"/>
              </w:rPr>
            </w:pPr>
          </w:p>
        </w:tc>
        <w:tc>
          <w:tcPr>
            <w:tcW w:w="1398" w:type="dxa"/>
          </w:tcPr>
          <w:p w14:paraId="220A3A24">
            <w:pPr>
              <w:pStyle w:val="15"/>
              <w:adjustRightInd w:val="0"/>
              <w:snapToGrid w:val="0"/>
              <w:spacing w:line="240" w:lineRule="auto"/>
              <w:rPr>
                <w:color w:val="auto"/>
                <w:sz w:val="18"/>
                <w:szCs w:val="18"/>
                <w:highlight w:val="none"/>
              </w:rPr>
            </w:pPr>
          </w:p>
        </w:tc>
        <w:tc>
          <w:tcPr>
            <w:tcW w:w="564" w:type="dxa"/>
          </w:tcPr>
          <w:p w14:paraId="7A9435DE">
            <w:pPr>
              <w:pStyle w:val="15"/>
              <w:adjustRightInd w:val="0"/>
              <w:snapToGrid w:val="0"/>
              <w:spacing w:line="240" w:lineRule="auto"/>
              <w:rPr>
                <w:color w:val="auto"/>
                <w:sz w:val="18"/>
                <w:szCs w:val="18"/>
                <w:highlight w:val="none"/>
              </w:rPr>
            </w:pPr>
          </w:p>
        </w:tc>
      </w:tr>
      <w:tr w14:paraId="1C07E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7AC83A4">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10</w:t>
            </w:r>
          </w:p>
        </w:tc>
        <w:tc>
          <w:tcPr>
            <w:tcW w:w="1268" w:type="dxa"/>
            <w:vMerge w:val="continue"/>
            <w:vAlign w:val="center"/>
          </w:tcPr>
          <w:p w14:paraId="7C3E3879">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3B57DA67">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5、▲眼底扫描长度：≥18mm</w:t>
            </w:r>
            <w:r>
              <w:rPr>
                <w:rFonts w:hint="eastAsia" w:ascii="宋体" w:hAnsi="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rPr>
              <w:t>(提供产品注册检验报告证明)</w:t>
            </w:r>
          </w:p>
        </w:tc>
        <w:tc>
          <w:tcPr>
            <w:tcW w:w="1075" w:type="dxa"/>
          </w:tcPr>
          <w:p w14:paraId="0DDF44F8">
            <w:pPr>
              <w:pStyle w:val="15"/>
              <w:adjustRightInd w:val="0"/>
              <w:snapToGrid w:val="0"/>
              <w:spacing w:line="240" w:lineRule="auto"/>
              <w:rPr>
                <w:color w:val="auto"/>
                <w:sz w:val="18"/>
                <w:szCs w:val="18"/>
                <w:highlight w:val="none"/>
              </w:rPr>
            </w:pPr>
          </w:p>
        </w:tc>
        <w:tc>
          <w:tcPr>
            <w:tcW w:w="661" w:type="dxa"/>
          </w:tcPr>
          <w:p w14:paraId="33A92410">
            <w:pPr>
              <w:pStyle w:val="15"/>
              <w:adjustRightInd w:val="0"/>
              <w:snapToGrid w:val="0"/>
              <w:spacing w:line="240" w:lineRule="auto"/>
              <w:rPr>
                <w:color w:val="auto"/>
                <w:sz w:val="18"/>
                <w:szCs w:val="18"/>
                <w:highlight w:val="none"/>
              </w:rPr>
            </w:pPr>
          </w:p>
        </w:tc>
        <w:tc>
          <w:tcPr>
            <w:tcW w:w="1398" w:type="dxa"/>
          </w:tcPr>
          <w:p w14:paraId="06357F2C">
            <w:pPr>
              <w:pStyle w:val="15"/>
              <w:adjustRightInd w:val="0"/>
              <w:snapToGrid w:val="0"/>
              <w:spacing w:line="240" w:lineRule="auto"/>
              <w:rPr>
                <w:color w:val="auto"/>
                <w:sz w:val="18"/>
                <w:szCs w:val="18"/>
                <w:highlight w:val="none"/>
              </w:rPr>
            </w:pPr>
          </w:p>
        </w:tc>
        <w:tc>
          <w:tcPr>
            <w:tcW w:w="564" w:type="dxa"/>
          </w:tcPr>
          <w:p w14:paraId="2595D3D9">
            <w:pPr>
              <w:pStyle w:val="15"/>
              <w:adjustRightInd w:val="0"/>
              <w:snapToGrid w:val="0"/>
              <w:spacing w:line="240" w:lineRule="auto"/>
              <w:rPr>
                <w:color w:val="auto"/>
                <w:sz w:val="18"/>
                <w:szCs w:val="18"/>
                <w:highlight w:val="none"/>
              </w:rPr>
            </w:pPr>
          </w:p>
        </w:tc>
      </w:tr>
      <w:tr w14:paraId="0A23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882B935">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11</w:t>
            </w:r>
          </w:p>
        </w:tc>
        <w:tc>
          <w:tcPr>
            <w:tcW w:w="1268" w:type="dxa"/>
            <w:vMerge w:val="continue"/>
            <w:vAlign w:val="center"/>
          </w:tcPr>
          <w:p w14:paraId="7097D8A5">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78791F0F">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6、▲轴向分辨率（光学）≤3.8um，横向分辨率（光学）≤10um</w:t>
            </w:r>
            <w:r>
              <w:rPr>
                <w:rFonts w:hint="eastAsia" w:ascii="宋体" w:hAnsi="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rPr>
              <w:t>(提供产品注册检验报告证明)</w:t>
            </w:r>
          </w:p>
        </w:tc>
        <w:tc>
          <w:tcPr>
            <w:tcW w:w="1075" w:type="dxa"/>
          </w:tcPr>
          <w:p w14:paraId="3611B9BB">
            <w:pPr>
              <w:pStyle w:val="15"/>
              <w:adjustRightInd w:val="0"/>
              <w:snapToGrid w:val="0"/>
              <w:spacing w:line="240" w:lineRule="auto"/>
              <w:rPr>
                <w:color w:val="auto"/>
                <w:sz w:val="18"/>
                <w:szCs w:val="18"/>
                <w:highlight w:val="none"/>
              </w:rPr>
            </w:pPr>
          </w:p>
        </w:tc>
        <w:tc>
          <w:tcPr>
            <w:tcW w:w="661" w:type="dxa"/>
          </w:tcPr>
          <w:p w14:paraId="40912B23">
            <w:pPr>
              <w:pStyle w:val="15"/>
              <w:adjustRightInd w:val="0"/>
              <w:snapToGrid w:val="0"/>
              <w:spacing w:line="240" w:lineRule="auto"/>
              <w:rPr>
                <w:color w:val="auto"/>
                <w:sz w:val="18"/>
                <w:szCs w:val="18"/>
                <w:highlight w:val="none"/>
              </w:rPr>
            </w:pPr>
          </w:p>
        </w:tc>
        <w:tc>
          <w:tcPr>
            <w:tcW w:w="1398" w:type="dxa"/>
          </w:tcPr>
          <w:p w14:paraId="7E4940AB">
            <w:pPr>
              <w:pStyle w:val="15"/>
              <w:adjustRightInd w:val="0"/>
              <w:snapToGrid w:val="0"/>
              <w:spacing w:line="240" w:lineRule="auto"/>
              <w:rPr>
                <w:color w:val="auto"/>
                <w:sz w:val="18"/>
                <w:szCs w:val="18"/>
                <w:highlight w:val="none"/>
              </w:rPr>
            </w:pPr>
          </w:p>
        </w:tc>
        <w:tc>
          <w:tcPr>
            <w:tcW w:w="564" w:type="dxa"/>
          </w:tcPr>
          <w:p w14:paraId="6BE7111D">
            <w:pPr>
              <w:pStyle w:val="15"/>
              <w:adjustRightInd w:val="0"/>
              <w:snapToGrid w:val="0"/>
              <w:spacing w:line="240" w:lineRule="auto"/>
              <w:rPr>
                <w:color w:val="auto"/>
                <w:sz w:val="18"/>
                <w:szCs w:val="18"/>
                <w:highlight w:val="none"/>
              </w:rPr>
            </w:pPr>
          </w:p>
        </w:tc>
      </w:tr>
      <w:tr w14:paraId="5F91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3DD2396">
            <w:pPr>
              <w:pStyle w:val="22"/>
              <w:tabs>
                <w:tab w:val="left" w:pos="630"/>
              </w:tabs>
              <w:snapToGrid w:val="0"/>
              <w:spacing w:after="0" w:line="240" w:lineRule="auto"/>
              <w:jc w:val="center"/>
              <w:rPr>
                <w:b/>
                <w:color w:val="auto"/>
                <w:sz w:val="18"/>
                <w:szCs w:val="18"/>
                <w:highlight w:val="none"/>
              </w:rPr>
            </w:pPr>
            <w:r>
              <w:rPr>
                <w:rFonts w:hint="eastAsia"/>
                <w:b/>
                <w:color w:val="auto"/>
                <w:sz w:val="18"/>
                <w:szCs w:val="18"/>
                <w:highlight w:val="none"/>
              </w:rPr>
              <w:t>12</w:t>
            </w:r>
          </w:p>
        </w:tc>
        <w:tc>
          <w:tcPr>
            <w:tcW w:w="1268" w:type="dxa"/>
            <w:vMerge w:val="continue"/>
            <w:vAlign w:val="center"/>
          </w:tcPr>
          <w:p w14:paraId="79DD2300">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27097EE8">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7、扫描方式：</w:t>
            </w:r>
            <w:r>
              <w:rPr>
                <w:rFonts w:hint="eastAsia" w:ascii="宋体" w:hAnsi="宋体" w:cs="宋体"/>
                <w:bCs/>
                <w:color w:val="auto"/>
                <w:kern w:val="0"/>
                <w:sz w:val="18"/>
                <w:szCs w:val="18"/>
                <w:highlight w:val="none"/>
                <w:shd w:val="clear" w:color="auto" w:fill="FFFFFF"/>
                <w:lang w:val="en-US" w:eastAsia="zh-CN"/>
              </w:rPr>
              <w:t>至少包括</w:t>
            </w:r>
            <w:r>
              <w:rPr>
                <w:rFonts w:hint="eastAsia" w:ascii="宋体" w:hAnsi="宋体" w:eastAsia="宋体" w:cs="宋体"/>
                <w:bCs/>
                <w:color w:val="auto"/>
                <w:kern w:val="0"/>
                <w:sz w:val="18"/>
                <w:szCs w:val="18"/>
                <w:highlight w:val="none"/>
                <w:shd w:val="clear" w:color="auto" w:fill="FFFFFF"/>
              </w:rPr>
              <w:t>辐射、网格、3D黄斑、3D视盘、黄斑OCTA、视盘OCTA，前节单线、前节辐射、高清辐射、前节3D</w:t>
            </w:r>
            <w:r>
              <w:rPr>
                <w:rFonts w:hint="eastAsia" w:ascii="宋体" w:hAnsi="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rPr>
              <w:t>(提供产品注册检验报告证明)</w:t>
            </w:r>
          </w:p>
        </w:tc>
        <w:tc>
          <w:tcPr>
            <w:tcW w:w="1075" w:type="dxa"/>
          </w:tcPr>
          <w:p w14:paraId="56327B45">
            <w:pPr>
              <w:pStyle w:val="15"/>
              <w:adjustRightInd w:val="0"/>
              <w:snapToGrid w:val="0"/>
              <w:spacing w:line="240" w:lineRule="auto"/>
              <w:rPr>
                <w:color w:val="auto"/>
                <w:sz w:val="18"/>
                <w:szCs w:val="18"/>
                <w:highlight w:val="none"/>
              </w:rPr>
            </w:pPr>
          </w:p>
        </w:tc>
        <w:tc>
          <w:tcPr>
            <w:tcW w:w="661" w:type="dxa"/>
          </w:tcPr>
          <w:p w14:paraId="53F144BE">
            <w:pPr>
              <w:pStyle w:val="15"/>
              <w:adjustRightInd w:val="0"/>
              <w:snapToGrid w:val="0"/>
              <w:spacing w:line="240" w:lineRule="auto"/>
              <w:rPr>
                <w:color w:val="auto"/>
                <w:sz w:val="18"/>
                <w:szCs w:val="18"/>
                <w:highlight w:val="none"/>
              </w:rPr>
            </w:pPr>
          </w:p>
        </w:tc>
        <w:tc>
          <w:tcPr>
            <w:tcW w:w="1398" w:type="dxa"/>
          </w:tcPr>
          <w:p w14:paraId="2F1EBFB6">
            <w:pPr>
              <w:pStyle w:val="15"/>
              <w:adjustRightInd w:val="0"/>
              <w:snapToGrid w:val="0"/>
              <w:spacing w:line="240" w:lineRule="auto"/>
              <w:rPr>
                <w:color w:val="auto"/>
                <w:sz w:val="18"/>
                <w:szCs w:val="18"/>
                <w:highlight w:val="none"/>
              </w:rPr>
            </w:pPr>
          </w:p>
        </w:tc>
        <w:tc>
          <w:tcPr>
            <w:tcW w:w="564" w:type="dxa"/>
          </w:tcPr>
          <w:p w14:paraId="5B906930">
            <w:pPr>
              <w:pStyle w:val="15"/>
              <w:adjustRightInd w:val="0"/>
              <w:snapToGrid w:val="0"/>
              <w:spacing w:line="240" w:lineRule="auto"/>
              <w:rPr>
                <w:color w:val="auto"/>
                <w:sz w:val="18"/>
                <w:szCs w:val="18"/>
                <w:highlight w:val="none"/>
              </w:rPr>
            </w:pPr>
          </w:p>
        </w:tc>
      </w:tr>
      <w:tr w14:paraId="3EA6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AF60112">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13</w:t>
            </w:r>
          </w:p>
        </w:tc>
        <w:tc>
          <w:tcPr>
            <w:tcW w:w="1268" w:type="dxa"/>
            <w:vMerge w:val="restart"/>
            <w:vAlign w:val="center"/>
          </w:tcPr>
          <w:p w14:paraId="22E57F6D">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三、技术参数要求：（三）眼底成像及功能：</w:t>
            </w:r>
          </w:p>
        </w:tc>
        <w:tc>
          <w:tcPr>
            <w:tcW w:w="4477" w:type="dxa"/>
            <w:vAlign w:val="center"/>
          </w:tcPr>
          <w:p w14:paraId="101A2C5A">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8、眼底图成像方式：共聚焦激光眼底成像</w:t>
            </w:r>
            <w:r>
              <w:rPr>
                <w:rFonts w:hint="eastAsia" w:ascii="宋体" w:hAnsi="宋体" w:cs="宋体"/>
                <w:bCs/>
                <w:color w:val="auto"/>
                <w:kern w:val="0"/>
                <w:sz w:val="18"/>
                <w:szCs w:val="18"/>
                <w:highlight w:val="none"/>
                <w:shd w:val="clear" w:color="auto" w:fill="FFFFFF"/>
                <w:lang w:eastAsia="zh-CN"/>
              </w:rPr>
              <w:t>。</w:t>
            </w:r>
          </w:p>
        </w:tc>
        <w:tc>
          <w:tcPr>
            <w:tcW w:w="1075" w:type="dxa"/>
          </w:tcPr>
          <w:p w14:paraId="3E1DEA4E">
            <w:pPr>
              <w:pStyle w:val="15"/>
              <w:adjustRightInd w:val="0"/>
              <w:snapToGrid w:val="0"/>
              <w:spacing w:line="240" w:lineRule="auto"/>
              <w:rPr>
                <w:color w:val="auto"/>
                <w:sz w:val="18"/>
                <w:szCs w:val="18"/>
                <w:highlight w:val="none"/>
              </w:rPr>
            </w:pPr>
          </w:p>
        </w:tc>
        <w:tc>
          <w:tcPr>
            <w:tcW w:w="661" w:type="dxa"/>
          </w:tcPr>
          <w:p w14:paraId="41CD0C8C">
            <w:pPr>
              <w:pStyle w:val="15"/>
              <w:adjustRightInd w:val="0"/>
              <w:snapToGrid w:val="0"/>
              <w:spacing w:line="240" w:lineRule="auto"/>
              <w:rPr>
                <w:color w:val="auto"/>
                <w:sz w:val="18"/>
                <w:szCs w:val="18"/>
                <w:highlight w:val="none"/>
              </w:rPr>
            </w:pPr>
          </w:p>
        </w:tc>
        <w:tc>
          <w:tcPr>
            <w:tcW w:w="1398" w:type="dxa"/>
          </w:tcPr>
          <w:p w14:paraId="7B122E74">
            <w:pPr>
              <w:pStyle w:val="15"/>
              <w:adjustRightInd w:val="0"/>
              <w:snapToGrid w:val="0"/>
              <w:spacing w:line="240" w:lineRule="auto"/>
              <w:rPr>
                <w:color w:val="auto"/>
                <w:sz w:val="18"/>
                <w:szCs w:val="18"/>
                <w:highlight w:val="none"/>
              </w:rPr>
            </w:pPr>
          </w:p>
        </w:tc>
        <w:tc>
          <w:tcPr>
            <w:tcW w:w="564" w:type="dxa"/>
          </w:tcPr>
          <w:p w14:paraId="7CF51C15">
            <w:pPr>
              <w:pStyle w:val="15"/>
              <w:adjustRightInd w:val="0"/>
              <w:snapToGrid w:val="0"/>
              <w:spacing w:line="240" w:lineRule="auto"/>
              <w:rPr>
                <w:color w:val="auto"/>
                <w:sz w:val="18"/>
                <w:szCs w:val="18"/>
                <w:highlight w:val="none"/>
              </w:rPr>
            </w:pPr>
          </w:p>
        </w:tc>
      </w:tr>
      <w:tr w14:paraId="648F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D926A3B">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14</w:t>
            </w:r>
          </w:p>
        </w:tc>
        <w:tc>
          <w:tcPr>
            <w:tcW w:w="1268" w:type="dxa"/>
            <w:vMerge w:val="continue"/>
            <w:vAlign w:val="center"/>
          </w:tcPr>
          <w:p w14:paraId="6E400423">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1A2DC939">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9、▲眼底成像波长标准值:≥840nm，不计算允差</w:t>
            </w:r>
            <w:r>
              <w:rPr>
                <w:rFonts w:hint="eastAsia" w:ascii="宋体" w:hAnsi="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rPr>
              <w:t xml:space="preserve">(提供产品注册检验报告证明) </w:t>
            </w:r>
          </w:p>
        </w:tc>
        <w:tc>
          <w:tcPr>
            <w:tcW w:w="1075" w:type="dxa"/>
          </w:tcPr>
          <w:p w14:paraId="0C59E1DC">
            <w:pPr>
              <w:pStyle w:val="15"/>
              <w:adjustRightInd w:val="0"/>
              <w:snapToGrid w:val="0"/>
              <w:spacing w:line="240" w:lineRule="auto"/>
              <w:rPr>
                <w:color w:val="auto"/>
                <w:sz w:val="18"/>
                <w:szCs w:val="18"/>
                <w:highlight w:val="none"/>
              </w:rPr>
            </w:pPr>
          </w:p>
        </w:tc>
        <w:tc>
          <w:tcPr>
            <w:tcW w:w="661" w:type="dxa"/>
          </w:tcPr>
          <w:p w14:paraId="21A4C2C9">
            <w:pPr>
              <w:pStyle w:val="15"/>
              <w:adjustRightInd w:val="0"/>
              <w:snapToGrid w:val="0"/>
              <w:spacing w:line="240" w:lineRule="auto"/>
              <w:rPr>
                <w:color w:val="auto"/>
                <w:sz w:val="18"/>
                <w:szCs w:val="18"/>
                <w:highlight w:val="none"/>
              </w:rPr>
            </w:pPr>
          </w:p>
        </w:tc>
        <w:tc>
          <w:tcPr>
            <w:tcW w:w="1398" w:type="dxa"/>
          </w:tcPr>
          <w:p w14:paraId="56139FBE">
            <w:pPr>
              <w:pStyle w:val="15"/>
              <w:adjustRightInd w:val="0"/>
              <w:snapToGrid w:val="0"/>
              <w:spacing w:line="240" w:lineRule="auto"/>
              <w:rPr>
                <w:color w:val="auto"/>
                <w:sz w:val="18"/>
                <w:szCs w:val="18"/>
                <w:highlight w:val="none"/>
              </w:rPr>
            </w:pPr>
          </w:p>
        </w:tc>
        <w:tc>
          <w:tcPr>
            <w:tcW w:w="564" w:type="dxa"/>
          </w:tcPr>
          <w:p w14:paraId="1C392A06">
            <w:pPr>
              <w:pStyle w:val="15"/>
              <w:adjustRightInd w:val="0"/>
              <w:snapToGrid w:val="0"/>
              <w:spacing w:line="240" w:lineRule="auto"/>
              <w:rPr>
                <w:color w:val="auto"/>
                <w:sz w:val="18"/>
                <w:szCs w:val="18"/>
                <w:highlight w:val="none"/>
              </w:rPr>
            </w:pPr>
          </w:p>
        </w:tc>
      </w:tr>
      <w:tr w14:paraId="2224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B500A3F">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15</w:t>
            </w:r>
          </w:p>
        </w:tc>
        <w:tc>
          <w:tcPr>
            <w:tcW w:w="1268" w:type="dxa"/>
            <w:vMerge w:val="continue"/>
            <w:vAlign w:val="center"/>
          </w:tcPr>
          <w:p w14:paraId="32B8B682">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2A94EA5A">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10、视网膜厚度地形图：可以手动测量指定区域视网膜厚度，也可自定义任意两层厚度进行自动分析。生成厚度地形图及偏差图，可在眼底图叠加热力图</w:t>
            </w:r>
            <w:r>
              <w:rPr>
                <w:rFonts w:hint="eastAsia" w:ascii="宋体" w:hAnsi="宋体" w:cs="宋体"/>
                <w:bCs/>
                <w:color w:val="auto"/>
                <w:kern w:val="0"/>
                <w:sz w:val="18"/>
                <w:szCs w:val="18"/>
                <w:highlight w:val="none"/>
                <w:shd w:val="clear" w:color="auto" w:fill="FFFFFF"/>
                <w:lang w:eastAsia="zh-CN"/>
              </w:rPr>
              <w:t>。</w:t>
            </w:r>
          </w:p>
        </w:tc>
        <w:tc>
          <w:tcPr>
            <w:tcW w:w="1075" w:type="dxa"/>
          </w:tcPr>
          <w:p w14:paraId="5E2E67EE">
            <w:pPr>
              <w:pStyle w:val="15"/>
              <w:adjustRightInd w:val="0"/>
              <w:snapToGrid w:val="0"/>
              <w:spacing w:line="240" w:lineRule="auto"/>
              <w:rPr>
                <w:color w:val="auto"/>
                <w:sz w:val="18"/>
                <w:szCs w:val="18"/>
                <w:highlight w:val="none"/>
              </w:rPr>
            </w:pPr>
          </w:p>
        </w:tc>
        <w:tc>
          <w:tcPr>
            <w:tcW w:w="661" w:type="dxa"/>
          </w:tcPr>
          <w:p w14:paraId="2D26812B">
            <w:pPr>
              <w:pStyle w:val="15"/>
              <w:adjustRightInd w:val="0"/>
              <w:snapToGrid w:val="0"/>
              <w:spacing w:line="240" w:lineRule="auto"/>
              <w:rPr>
                <w:color w:val="auto"/>
                <w:sz w:val="18"/>
                <w:szCs w:val="18"/>
                <w:highlight w:val="none"/>
              </w:rPr>
            </w:pPr>
          </w:p>
        </w:tc>
        <w:tc>
          <w:tcPr>
            <w:tcW w:w="1398" w:type="dxa"/>
          </w:tcPr>
          <w:p w14:paraId="04254363">
            <w:pPr>
              <w:pStyle w:val="15"/>
              <w:adjustRightInd w:val="0"/>
              <w:snapToGrid w:val="0"/>
              <w:spacing w:line="240" w:lineRule="auto"/>
              <w:rPr>
                <w:color w:val="auto"/>
                <w:sz w:val="18"/>
                <w:szCs w:val="18"/>
                <w:highlight w:val="none"/>
              </w:rPr>
            </w:pPr>
          </w:p>
        </w:tc>
        <w:tc>
          <w:tcPr>
            <w:tcW w:w="564" w:type="dxa"/>
          </w:tcPr>
          <w:p w14:paraId="6E8C604E">
            <w:pPr>
              <w:pStyle w:val="15"/>
              <w:adjustRightInd w:val="0"/>
              <w:snapToGrid w:val="0"/>
              <w:spacing w:line="240" w:lineRule="auto"/>
              <w:rPr>
                <w:color w:val="auto"/>
                <w:sz w:val="18"/>
                <w:szCs w:val="18"/>
                <w:highlight w:val="none"/>
              </w:rPr>
            </w:pPr>
          </w:p>
        </w:tc>
      </w:tr>
      <w:tr w14:paraId="1509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7FAA1B0">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16</w:t>
            </w:r>
          </w:p>
        </w:tc>
        <w:tc>
          <w:tcPr>
            <w:tcW w:w="1268" w:type="dxa"/>
            <w:vMerge w:val="continue"/>
            <w:vAlign w:val="center"/>
          </w:tcPr>
          <w:p w14:paraId="575E062E">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32477197">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11、网膜三维图像分析模式：支持三维重建技术，支持基于三位模式的分层、自定义分区浏览模式，视网膜形态分析模式：支持3D视网膜分析，视网膜曲率，视网膜球差，视网膜等高图分析，视网膜曲率半径分析。</w:t>
            </w:r>
          </w:p>
        </w:tc>
        <w:tc>
          <w:tcPr>
            <w:tcW w:w="1075" w:type="dxa"/>
          </w:tcPr>
          <w:p w14:paraId="076C7FBA">
            <w:pPr>
              <w:pStyle w:val="15"/>
              <w:adjustRightInd w:val="0"/>
              <w:snapToGrid w:val="0"/>
              <w:spacing w:line="240" w:lineRule="auto"/>
              <w:rPr>
                <w:color w:val="auto"/>
                <w:sz w:val="18"/>
                <w:szCs w:val="18"/>
                <w:highlight w:val="none"/>
              </w:rPr>
            </w:pPr>
          </w:p>
        </w:tc>
        <w:tc>
          <w:tcPr>
            <w:tcW w:w="661" w:type="dxa"/>
          </w:tcPr>
          <w:p w14:paraId="6E93416F">
            <w:pPr>
              <w:pStyle w:val="15"/>
              <w:adjustRightInd w:val="0"/>
              <w:snapToGrid w:val="0"/>
              <w:spacing w:line="240" w:lineRule="auto"/>
              <w:rPr>
                <w:color w:val="auto"/>
                <w:sz w:val="18"/>
                <w:szCs w:val="18"/>
                <w:highlight w:val="none"/>
              </w:rPr>
            </w:pPr>
          </w:p>
        </w:tc>
        <w:tc>
          <w:tcPr>
            <w:tcW w:w="1398" w:type="dxa"/>
          </w:tcPr>
          <w:p w14:paraId="7C4E0232">
            <w:pPr>
              <w:pStyle w:val="15"/>
              <w:adjustRightInd w:val="0"/>
              <w:snapToGrid w:val="0"/>
              <w:spacing w:line="240" w:lineRule="auto"/>
              <w:rPr>
                <w:color w:val="auto"/>
                <w:sz w:val="18"/>
                <w:szCs w:val="18"/>
                <w:highlight w:val="none"/>
              </w:rPr>
            </w:pPr>
          </w:p>
        </w:tc>
        <w:tc>
          <w:tcPr>
            <w:tcW w:w="564" w:type="dxa"/>
          </w:tcPr>
          <w:p w14:paraId="0E7E5777">
            <w:pPr>
              <w:pStyle w:val="15"/>
              <w:adjustRightInd w:val="0"/>
              <w:snapToGrid w:val="0"/>
              <w:spacing w:line="240" w:lineRule="auto"/>
              <w:rPr>
                <w:color w:val="auto"/>
                <w:sz w:val="18"/>
                <w:szCs w:val="18"/>
                <w:highlight w:val="none"/>
              </w:rPr>
            </w:pPr>
          </w:p>
        </w:tc>
      </w:tr>
      <w:tr w14:paraId="6C46F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FAFBB7B">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17</w:t>
            </w:r>
          </w:p>
        </w:tc>
        <w:tc>
          <w:tcPr>
            <w:tcW w:w="1268" w:type="dxa"/>
            <w:vMerge w:val="continue"/>
            <w:vAlign w:val="center"/>
          </w:tcPr>
          <w:p w14:paraId="6B751B1E">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65A50974">
            <w:pPr>
              <w:keepNext w:val="0"/>
              <w:keepLines w:val="0"/>
              <w:pageBreakBefore w:val="0"/>
              <w:kinsoku/>
              <w:wordWrap/>
              <w:overflowPunct/>
              <w:topLinePunct w:val="0"/>
              <w:autoSpaceDE/>
              <w:autoSpaceDN/>
              <w:bidi w:val="0"/>
              <w:adjustRightInd/>
              <w:snapToGrid/>
              <w:spacing w:after="0" w:line="300" w:lineRule="auto"/>
              <w:textAlignment w:val="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12、青光眼分析软件：内置正常人RNFL及神经节细胞复合体厚度数据库；视盘结构分析：自动识别视杯视盘位置与视盘边缘，测量垂直方向，水平方向、面积杯盘比，盘沿面积、视杯体积。支持6mm范围厚度图并对神经纤维层厚度分析；神经节细胞复合体分析：支持黄斑区神经节细胞厚度分析；青光眼综合分析：生成视盘结构分析与视盘OCTA量化分析的功能组合报告</w:t>
            </w:r>
            <w:r>
              <w:rPr>
                <w:rFonts w:hint="eastAsia" w:ascii="宋体" w:hAnsi="宋体" w:cs="宋体"/>
                <w:bCs/>
                <w:color w:val="auto"/>
                <w:kern w:val="0"/>
                <w:sz w:val="18"/>
                <w:szCs w:val="18"/>
                <w:highlight w:val="none"/>
                <w:shd w:val="clear" w:color="auto" w:fill="FFFFFF"/>
                <w:lang w:eastAsia="zh-CN"/>
              </w:rPr>
              <w:t>。</w:t>
            </w:r>
          </w:p>
        </w:tc>
        <w:tc>
          <w:tcPr>
            <w:tcW w:w="1075" w:type="dxa"/>
          </w:tcPr>
          <w:p w14:paraId="75843A63">
            <w:pPr>
              <w:pStyle w:val="15"/>
              <w:adjustRightInd w:val="0"/>
              <w:snapToGrid w:val="0"/>
              <w:spacing w:line="240" w:lineRule="auto"/>
              <w:rPr>
                <w:color w:val="auto"/>
                <w:sz w:val="18"/>
                <w:szCs w:val="18"/>
                <w:highlight w:val="none"/>
              </w:rPr>
            </w:pPr>
          </w:p>
        </w:tc>
        <w:tc>
          <w:tcPr>
            <w:tcW w:w="661" w:type="dxa"/>
          </w:tcPr>
          <w:p w14:paraId="26BA7FC3">
            <w:pPr>
              <w:pStyle w:val="15"/>
              <w:adjustRightInd w:val="0"/>
              <w:snapToGrid w:val="0"/>
              <w:spacing w:line="240" w:lineRule="auto"/>
              <w:rPr>
                <w:color w:val="auto"/>
                <w:sz w:val="18"/>
                <w:szCs w:val="18"/>
                <w:highlight w:val="none"/>
              </w:rPr>
            </w:pPr>
          </w:p>
        </w:tc>
        <w:tc>
          <w:tcPr>
            <w:tcW w:w="1398" w:type="dxa"/>
          </w:tcPr>
          <w:p w14:paraId="643F2880">
            <w:pPr>
              <w:pStyle w:val="15"/>
              <w:adjustRightInd w:val="0"/>
              <w:snapToGrid w:val="0"/>
              <w:spacing w:line="240" w:lineRule="auto"/>
              <w:rPr>
                <w:color w:val="auto"/>
                <w:sz w:val="18"/>
                <w:szCs w:val="18"/>
                <w:highlight w:val="none"/>
              </w:rPr>
            </w:pPr>
          </w:p>
        </w:tc>
        <w:tc>
          <w:tcPr>
            <w:tcW w:w="564" w:type="dxa"/>
          </w:tcPr>
          <w:p w14:paraId="3A9A4890">
            <w:pPr>
              <w:pStyle w:val="15"/>
              <w:adjustRightInd w:val="0"/>
              <w:snapToGrid w:val="0"/>
              <w:spacing w:line="240" w:lineRule="auto"/>
              <w:rPr>
                <w:color w:val="auto"/>
                <w:sz w:val="18"/>
                <w:szCs w:val="18"/>
                <w:highlight w:val="none"/>
              </w:rPr>
            </w:pPr>
          </w:p>
        </w:tc>
      </w:tr>
      <w:tr w14:paraId="60B8F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A8D42F0">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18</w:t>
            </w:r>
          </w:p>
        </w:tc>
        <w:tc>
          <w:tcPr>
            <w:tcW w:w="1268" w:type="dxa"/>
            <w:vMerge w:val="restart"/>
            <w:vAlign w:val="center"/>
          </w:tcPr>
          <w:p w14:paraId="46D53E91">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三、技术参数要求：（四）血流成像及功能：</w:t>
            </w:r>
          </w:p>
        </w:tc>
        <w:tc>
          <w:tcPr>
            <w:tcW w:w="4477" w:type="dxa"/>
            <w:vAlign w:val="center"/>
          </w:tcPr>
          <w:p w14:paraId="4D7CBC17">
            <w:pPr>
              <w:keepNext w:val="0"/>
              <w:keepLines w:val="0"/>
              <w:pageBreakBefore w:val="0"/>
              <w:kinsoku/>
              <w:wordWrap/>
              <w:overflowPunct/>
              <w:topLinePunct w:val="0"/>
              <w:autoSpaceDE/>
              <w:autoSpaceDN/>
              <w:bidi w:val="0"/>
              <w:adjustRightInd/>
              <w:snapToGrid/>
              <w:spacing w:after="0" w:line="300" w:lineRule="auto"/>
              <w:textAlignment w:val="auto"/>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bCs/>
                <w:color w:val="auto"/>
                <w:kern w:val="0"/>
                <w:sz w:val="18"/>
                <w:szCs w:val="18"/>
                <w:highlight w:val="none"/>
                <w:shd w:val="clear" w:color="auto" w:fill="FFFFFF"/>
              </w:rPr>
              <w:t>13、▲无任何外接镜头下，单次眼底OCTA成像范围≥24mm</w:t>
            </w:r>
            <w:r>
              <w:rPr>
                <w:rFonts w:hint="eastAsia" w:ascii="宋体" w:hAnsi="宋体" w:cs="宋体"/>
                <w:bCs/>
                <w:color w:val="auto"/>
                <w:kern w:val="0"/>
                <w:sz w:val="18"/>
                <w:szCs w:val="18"/>
                <w:highlight w:val="none"/>
                <w:shd w:val="clear" w:color="auto" w:fill="FFFFFF"/>
                <w:lang w:val="en-US" w:eastAsia="zh-CN"/>
              </w:rPr>
              <w:t>*</w:t>
            </w:r>
            <w:r>
              <w:rPr>
                <w:rFonts w:hint="eastAsia" w:ascii="宋体" w:hAnsi="宋体" w:eastAsia="宋体" w:cs="宋体"/>
                <w:bCs/>
                <w:color w:val="auto"/>
                <w:kern w:val="0"/>
                <w:sz w:val="18"/>
                <w:szCs w:val="18"/>
                <w:highlight w:val="none"/>
                <w:shd w:val="clear" w:color="auto" w:fill="FFFFFF"/>
              </w:rPr>
              <w:t>20mm</w:t>
            </w:r>
            <w:r>
              <w:rPr>
                <w:rFonts w:hint="eastAsia" w:ascii="宋体" w:hAnsi="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rPr>
              <w:t>（提供官方彩页证明文件</w:t>
            </w:r>
            <w:r>
              <w:rPr>
                <w:rFonts w:hint="eastAsia" w:ascii="宋体" w:hAnsi="宋体" w:cs="宋体"/>
                <w:bCs/>
                <w:color w:val="auto"/>
                <w:kern w:val="0"/>
                <w:sz w:val="18"/>
                <w:szCs w:val="18"/>
                <w:highlight w:val="none"/>
                <w:shd w:val="clear" w:color="auto" w:fill="FFFFFF"/>
                <w:lang w:val="en-US" w:eastAsia="zh-CN"/>
              </w:rPr>
              <w:t>或产品技术规格书</w:t>
            </w:r>
            <w:r>
              <w:rPr>
                <w:rFonts w:hint="eastAsia" w:ascii="宋体" w:hAnsi="宋体" w:eastAsia="宋体" w:cs="宋体"/>
                <w:bCs/>
                <w:color w:val="auto"/>
                <w:kern w:val="0"/>
                <w:sz w:val="18"/>
                <w:szCs w:val="18"/>
                <w:highlight w:val="none"/>
                <w:shd w:val="clear" w:color="auto" w:fill="FFFFFF"/>
              </w:rPr>
              <w:t>）</w:t>
            </w:r>
          </w:p>
        </w:tc>
        <w:tc>
          <w:tcPr>
            <w:tcW w:w="1075" w:type="dxa"/>
          </w:tcPr>
          <w:p w14:paraId="749B1D9D">
            <w:pPr>
              <w:pStyle w:val="15"/>
              <w:adjustRightInd w:val="0"/>
              <w:snapToGrid w:val="0"/>
              <w:spacing w:line="240" w:lineRule="auto"/>
              <w:rPr>
                <w:color w:val="auto"/>
                <w:sz w:val="18"/>
                <w:szCs w:val="18"/>
                <w:highlight w:val="none"/>
              </w:rPr>
            </w:pPr>
          </w:p>
        </w:tc>
        <w:tc>
          <w:tcPr>
            <w:tcW w:w="661" w:type="dxa"/>
          </w:tcPr>
          <w:p w14:paraId="42C63B4D">
            <w:pPr>
              <w:pStyle w:val="15"/>
              <w:adjustRightInd w:val="0"/>
              <w:snapToGrid w:val="0"/>
              <w:spacing w:line="240" w:lineRule="auto"/>
              <w:rPr>
                <w:color w:val="auto"/>
                <w:sz w:val="18"/>
                <w:szCs w:val="18"/>
                <w:highlight w:val="none"/>
              </w:rPr>
            </w:pPr>
          </w:p>
        </w:tc>
        <w:tc>
          <w:tcPr>
            <w:tcW w:w="1398" w:type="dxa"/>
          </w:tcPr>
          <w:p w14:paraId="627B91A2">
            <w:pPr>
              <w:pStyle w:val="15"/>
              <w:adjustRightInd w:val="0"/>
              <w:snapToGrid w:val="0"/>
              <w:spacing w:line="240" w:lineRule="auto"/>
              <w:rPr>
                <w:color w:val="auto"/>
                <w:sz w:val="18"/>
                <w:szCs w:val="18"/>
                <w:highlight w:val="none"/>
              </w:rPr>
            </w:pPr>
          </w:p>
        </w:tc>
        <w:tc>
          <w:tcPr>
            <w:tcW w:w="564" w:type="dxa"/>
          </w:tcPr>
          <w:p w14:paraId="77BAEB92">
            <w:pPr>
              <w:pStyle w:val="15"/>
              <w:adjustRightInd w:val="0"/>
              <w:snapToGrid w:val="0"/>
              <w:spacing w:line="240" w:lineRule="auto"/>
              <w:rPr>
                <w:color w:val="auto"/>
                <w:sz w:val="18"/>
                <w:szCs w:val="18"/>
                <w:highlight w:val="none"/>
              </w:rPr>
            </w:pPr>
          </w:p>
        </w:tc>
      </w:tr>
      <w:tr w14:paraId="7427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7B2B11C">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19</w:t>
            </w:r>
          </w:p>
        </w:tc>
        <w:tc>
          <w:tcPr>
            <w:tcW w:w="1268" w:type="dxa"/>
            <w:vMerge w:val="continue"/>
            <w:vAlign w:val="center"/>
          </w:tcPr>
          <w:p w14:paraId="6D222B35">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0238B1A4">
            <w:pPr>
              <w:keepNext w:val="0"/>
              <w:keepLines w:val="0"/>
              <w:pageBreakBefore w:val="0"/>
              <w:kinsoku/>
              <w:wordWrap/>
              <w:overflowPunct/>
              <w:topLinePunct w:val="0"/>
              <w:autoSpaceDE/>
              <w:autoSpaceDN/>
              <w:bidi w:val="0"/>
              <w:adjustRightInd/>
              <w:snapToGrid/>
              <w:spacing w:after="0" w:line="300" w:lineRule="auto"/>
              <w:textAlignment w:val="auto"/>
              <w:rPr>
                <w:color w:val="auto"/>
                <w:sz w:val="18"/>
                <w:szCs w:val="18"/>
                <w:highlight w:val="none"/>
              </w:rPr>
            </w:pPr>
            <w:r>
              <w:rPr>
                <w:rFonts w:hint="eastAsia" w:ascii="宋体" w:hAnsi="宋体" w:eastAsia="宋体" w:cs="宋体"/>
                <w:bCs/>
                <w:color w:val="auto"/>
                <w:kern w:val="0"/>
                <w:sz w:val="18"/>
                <w:szCs w:val="18"/>
                <w:highlight w:val="none"/>
                <w:shd w:val="clear" w:color="auto" w:fill="FFFFFF"/>
              </w:rPr>
              <w:t>14、血流量化分析软件：支持玻璃体、视网膜与脉络膜分层，支持格栅分区、ETDRS等多种分区，默认自动7层分层，可根据需求手动调节任意层次。血流量化参数：支持自定义边界与环形边界血流面积测量。支持任意扫描尺寸的血流密度测量，自动识别FAZ，自动测量面积、周长、近圆比例、环周密度</w:t>
            </w:r>
            <w:r>
              <w:rPr>
                <w:rFonts w:hint="eastAsia" w:ascii="宋体" w:hAnsi="宋体" w:cs="宋体"/>
                <w:bCs/>
                <w:color w:val="auto"/>
                <w:kern w:val="0"/>
                <w:sz w:val="18"/>
                <w:szCs w:val="18"/>
                <w:highlight w:val="none"/>
                <w:shd w:val="clear" w:color="auto" w:fill="FFFFFF"/>
                <w:lang w:eastAsia="zh-CN"/>
              </w:rPr>
              <w:t>。</w:t>
            </w:r>
          </w:p>
        </w:tc>
        <w:tc>
          <w:tcPr>
            <w:tcW w:w="1075" w:type="dxa"/>
          </w:tcPr>
          <w:p w14:paraId="3D6A9AE6">
            <w:pPr>
              <w:pStyle w:val="15"/>
              <w:adjustRightInd w:val="0"/>
              <w:snapToGrid w:val="0"/>
              <w:spacing w:line="240" w:lineRule="auto"/>
              <w:rPr>
                <w:color w:val="auto"/>
                <w:sz w:val="18"/>
                <w:szCs w:val="18"/>
                <w:highlight w:val="none"/>
              </w:rPr>
            </w:pPr>
          </w:p>
        </w:tc>
        <w:tc>
          <w:tcPr>
            <w:tcW w:w="661" w:type="dxa"/>
          </w:tcPr>
          <w:p w14:paraId="68237FA9">
            <w:pPr>
              <w:pStyle w:val="15"/>
              <w:adjustRightInd w:val="0"/>
              <w:snapToGrid w:val="0"/>
              <w:spacing w:line="240" w:lineRule="auto"/>
              <w:rPr>
                <w:color w:val="auto"/>
                <w:sz w:val="18"/>
                <w:szCs w:val="18"/>
                <w:highlight w:val="none"/>
              </w:rPr>
            </w:pPr>
          </w:p>
        </w:tc>
        <w:tc>
          <w:tcPr>
            <w:tcW w:w="1398" w:type="dxa"/>
          </w:tcPr>
          <w:p w14:paraId="3D382767">
            <w:pPr>
              <w:pStyle w:val="15"/>
              <w:adjustRightInd w:val="0"/>
              <w:snapToGrid w:val="0"/>
              <w:spacing w:line="240" w:lineRule="auto"/>
              <w:rPr>
                <w:color w:val="auto"/>
                <w:sz w:val="18"/>
                <w:szCs w:val="18"/>
                <w:highlight w:val="none"/>
              </w:rPr>
            </w:pPr>
          </w:p>
        </w:tc>
        <w:tc>
          <w:tcPr>
            <w:tcW w:w="564" w:type="dxa"/>
          </w:tcPr>
          <w:p w14:paraId="4387DA6A">
            <w:pPr>
              <w:pStyle w:val="15"/>
              <w:adjustRightInd w:val="0"/>
              <w:snapToGrid w:val="0"/>
              <w:spacing w:line="240" w:lineRule="auto"/>
              <w:rPr>
                <w:color w:val="auto"/>
                <w:sz w:val="18"/>
                <w:szCs w:val="18"/>
                <w:highlight w:val="none"/>
              </w:rPr>
            </w:pPr>
          </w:p>
        </w:tc>
      </w:tr>
      <w:tr w14:paraId="08B6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177DBA2">
            <w:pPr>
              <w:pStyle w:val="22"/>
              <w:tabs>
                <w:tab w:val="left" w:pos="630"/>
              </w:tabs>
              <w:snapToGrid w:val="0"/>
              <w:spacing w:after="0" w:line="240" w:lineRule="auto"/>
              <w:jc w:val="center"/>
              <w:rPr>
                <w:rFonts w:hint="eastAsia" w:eastAsia="宋体"/>
                <w:b/>
                <w:color w:val="auto"/>
                <w:sz w:val="18"/>
                <w:szCs w:val="18"/>
                <w:highlight w:val="none"/>
                <w:lang w:eastAsia="zh-CN"/>
              </w:rPr>
            </w:pPr>
            <w:r>
              <w:rPr>
                <w:rFonts w:hint="eastAsia"/>
                <w:b/>
                <w:color w:val="auto"/>
                <w:sz w:val="18"/>
                <w:szCs w:val="18"/>
                <w:highlight w:val="none"/>
              </w:rPr>
              <w:t>2</w:t>
            </w:r>
            <w:r>
              <w:rPr>
                <w:rFonts w:hint="eastAsia"/>
                <w:b/>
                <w:color w:val="auto"/>
                <w:sz w:val="18"/>
                <w:szCs w:val="18"/>
                <w:highlight w:val="none"/>
                <w:lang w:val="en-US" w:eastAsia="zh-CN"/>
              </w:rPr>
              <w:t>0</w:t>
            </w:r>
          </w:p>
        </w:tc>
        <w:tc>
          <w:tcPr>
            <w:tcW w:w="1268" w:type="dxa"/>
            <w:vMerge w:val="continue"/>
            <w:vAlign w:val="center"/>
          </w:tcPr>
          <w:p w14:paraId="4E7C3529">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1FE5D530">
            <w:pPr>
              <w:snapToGrid w:val="0"/>
              <w:spacing w:after="0" w:line="240" w:lineRule="auto"/>
              <w:rPr>
                <w:rFonts w:hint="eastAsia" w:hAnsi="宋体" w:cs="Times New Roman"/>
                <w:color w:val="auto"/>
                <w:sz w:val="18"/>
                <w:szCs w:val="18"/>
                <w:highlight w:val="none"/>
              </w:rPr>
            </w:pPr>
            <w:r>
              <w:rPr>
                <w:rFonts w:hint="eastAsia" w:ascii="宋体" w:hAnsi="宋体" w:eastAsia="宋体" w:cs="宋体"/>
                <w:bCs/>
                <w:color w:val="auto"/>
                <w:kern w:val="0"/>
                <w:sz w:val="18"/>
                <w:szCs w:val="18"/>
                <w:highlight w:val="none"/>
                <w:shd w:val="clear" w:color="auto" w:fill="FFFFFF"/>
              </w:rPr>
              <w:t>15、脉络膜分析软件：自动或手动测量脉络膜厚度，支持任意扫描尺寸的脉络膜中大血管层血流量化，支持2D 血流密度量化；支持3D，CVV,CVI,CSV,CSI脉络膜中大血流自动识别及量化分析</w:t>
            </w:r>
            <w:r>
              <w:rPr>
                <w:rFonts w:hint="eastAsia" w:ascii="宋体" w:hAnsi="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rPr>
              <w:t>（提供官方彩页证明文件</w:t>
            </w:r>
            <w:r>
              <w:rPr>
                <w:rFonts w:hint="eastAsia" w:ascii="宋体" w:hAnsi="宋体" w:cs="宋体"/>
                <w:bCs/>
                <w:color w:val="auto"/>
                <w:kern w:val="0"/>
                <w:sz w:val="18"/>
                <w:szCs w:val="18"/>
                <w:highlight w:val="none"/>
                <w:shd w:val="clear" w:color="auto" w:fill="FFFFFF"/>
                <w:lang w:val="en-US" w:eastAsia="zh-CN"/>
              </w:rPr>
              <w:t>或产品技术规格书</w:t>
            </w:r>
            <w:r>
              <w:rPr>
                <w:rFonts w:hint="eastAsia" w:ascii="宋体" w:hAnsi="宋体" w:eastAsia="宋体" w:cs="宋体"/>
                <w:bCs/>
                <w:color w:val="auto"/>
                <w:kern w:val="0"/>
                <w:sz w:val="18"/>
                <w:szCs w:val="18"/>
                <w:highlight w:val="none"/>
                <w:shd w:val="clear" w:color="auto" w:fill="FFFFFF"/>
              </w:rPr>
              <w:t>）</w:t>
            </w:r>
          </w:p>
        </w:tc>
        <w:tc>
          <w:tcPr>
            <w:tcW w:w="1075" w:type="dxa"/>
          </w:tcPr>
          <w:p w14:paraId="3C87A698">
            <w:pPr>
              <w:pStyle w:val="15"/>
              <w:adjustRightInd w:val="0"/>
              <w:snapToGrid w:val="0"/>
              <w:spacing w:line="240" w:lineRule="auto"/>
              <w:rPr>
                <w:color w:val="auto"/>
                <w:sz w:val="18"/>
                <w:szCs w:val="18"/>
                <w:highlight w:val="none"/>
              </w:rPr>
            </w:pPr>
          </w:p>
        </w:tc>
        <w:tc>
          <w:tcPr>
            <w:tcW w:w="661" w:type="dxa"/>
          </w:tcPr>
          <w:p w14:paraId="32EA890A">
            <w:pPr>
              <w:pStyle w:val="15"/>
              <w:adjustRightInd w:val="0"/>
              <w:snapToGrid w:val="0"/>
              <w:spacing w:line="240" w:lineRule="auto"/>
              <w:rPr>
                <w:color w:val="auto"/>
                <w:sz w:val="18"/>
                <w:szCs w:val="18"/>
                <w:highlight w:val="none"/>
              </w:rPr>
            </w:pPr>
          </w:p>
        </w:tc>
        <w:tc>
          <w:tcPr>
            <w:tcW w:w="1398" w:type="dxa"/>
          </w:tcPr>
          <w:p w14:paraId="0AC7BC99">
            <w:pPr>
              <w:pStyle w:val="15"/>
              <w:adjustRightInd w:val="0"/>
              <w:snapToGrid w:val="0"/>
              <w:spacing w:line="240" w:lineRule="auto"/>
              <w:rPr>
                <w:color w:val="auto"/>
                <w:sz w:val="18"/>
                <w:szCs w:val="18"/>
                <w:highlight w:val="none"/>
              </w:rPr>
            </w:pPr>
          </w:p>
        </w:tc>
        <w:tc>
          <w:tcPr>
            <w:tcW w:w="564" w:type="dxa"/>
          </w:tcPr>
          <w:p w14:paraId="38C78CB9">
            <w:pPr>
              <w:pStyle w:val="15"/>
              <w:adjustRightInd w:val="0"/>
              <w:snapToGrid w:val="0"/>
              <w:spacing w:line="240" w:lineRule="auto"/>
              <w:rPr>
                <w:color w:val="auto"/>
                <w:sz w:val="18"/>
                <w:szCs w:val="18"/>
                <w:highlight w:val="none"/>
              </w:rPr>
            </w:pPr>
          </w:p>
        </w:tc>
      </w:tr>
      <w:tr w14:paraId="2D94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4B79E46">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21</w:t>
            </w:r>
          </w:p>
        </w:tc>
        <w:tc>
          <w:tcPr>
            <w:tcW w:w="1268" w:type="dxa"/>
            <w:vMerge w:val="continue"/>
            <w:vAlign w:val="center"/>
          </w:tcPr>
          <w:p w14:paraId="4D5EBBAB">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27EE7CD6">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16、★具备眼底血流成像功能</w:t>
            </w:r>
          </w:p>
        </w:tc>
        <w:tc>
          <w:tcPr>
            <w:tcW w:w="1075" w:type="dxa"/>
          </w:tcPr>
          <w:p w14:paraId="0D2CD53A">
            <w:pPr>
              <w:pStyle w:val="15"/>
              <w:adjustRightInd w:val="0"/>
              <w:snapToGrid w:val="0"/>
              <w:spacing w:line="240" w:lineRule="auto"/>
              <w:rPr>
                <w:color w:val="auto"/>
                <w:sz w:val="18"/>
                <w:szCs w:val="18"/>
                <w:highlight w:val="none"/>
              </w:rPr>
            </w:pPr>
          </w:p>
        </w:tc>
        <w:tc>
          <w:tcPr>
            <w:tcW w:w="661" w:type="dxa"/>
          </w:tcPr>
          <w:p w14:paraId="255AB8D2">
            <w:pPr>
              <w:pStyle w:val="15"/>
              <w:adjustRightInd w:val="0"/>
              <w:snapToGrid w:val="0"/>
              <w:spacing w:line="240" w:lineRule="auto"/>
              <w:rPr>
                <w:color w:val="auto"/>
                <w:sz w:val="18"/>
                <w:szCs w:val="18"/>
                <w:highlight w:val="none"/>
              </w:rPr>
            </w:pPr>
          </w:p>
        </w:tc>
        <w:tc>
          <w:tcPr>
            <w:tcW w:w="1398" w:type="dxa"/>
          </w:tcPr>
          <w:p w14:paraId="7154EB9C">
            <w:pPr>
              <w:pStyle w:val="15"/>
              <w:adjustRightInd w:val="0"/>
              <w:snapToGrid w:val="0"/>
              <w:spacing w:line="240" w:lineRule="auto"/>
              <w:rPr>
                <w:color w:val="auto"/>
                <w:sz w:val="18"/>
                <w:szCs w:val="18"/>
                <w:highlight w:val="none"/>
              </w:rPr>
            </w:pPr>
          </w:p>
        </w:tc>
        <w:tc>
          <w:tcPr>
            <w:tcW w:w="564" w:type="dxa"/>
          </w:tcPr>
          <w:p w14:paraId="5A5F2C28">
            <w:pPr>
              <w:pStyle w:val="15"/>
              <w:adjustRightInd w:val="0"/>
              <w:snapToGrid w:val="0"/>
              <w:spacing w:line="240" w:lineRule="auto"/>
              <w:rPr>
                <w:color w:val="auto"/>
                <w:sz w:val="18"/>
                <w:szCs w:val="18"/>
                <w:highlight w:val="none"/>
              </w:rPr>
            </w:pPr>
          </w:p>
        </w:tc>
      </w:tr>
      <w:tr w14:paraId="58590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DA02D70">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22</w:t>
            </w:r>
          </w:p>
        </w:tc>
        <w:tc>
          <w:tcPr>
            <w:tcW w:w="1268" w:type="dxa"/>
            <w:vMerge w:val="restart"/>
            <w:vAlign w:val="center"/>
          </w:tcPr>
          <w:p w14:paraId="1EA6086F">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三、技术参数要求：（五）眼前节成像及功能：</w:t>
            </w:r>
          </w:p>
        </w:tc>
        <w:tc>
          <w:tcPr>
            <w:tcW w:w="4477" w:type="dxa"/>
            <w:vAlign w:val="center"/>
          </w:tcPr>
          <w:p w14:paraId="7B27FDF7">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17、▲具备眼前节适配器（可拆卸外置镜头），独立保存专业安装，成像更清晰，非内置眼前节镜头。</w:t>
            </w:r>
            <w:r>
              <w:rPr>
                <w:rFonts w:hint="eastAsia" w:ascii="宋体" w:hAnsi="宋体" w:eastAsia="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lang w:val="en-US" w:eastAsia="zh-CN"/>
              </w:rPr>
              <w:t>提供相关证明材料</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34891C4E">
            <w:pPr>
              <w:pStyle w:val="15"/>
              <w:adjustRightInd w:val="0"/>
              <w:snapToGrid w:val="0"/>
              <w:spacing w:line="240" w:lineRule="auto"/>
              <w:rPr>
                <w:color w:val="auto"/>
                <w:sz w:val="18"/>
                <w:szCs w:val="18"/>
                <w:highlight w:val="none"/>
              </w:rPr>
            </w:pPr>
          </w:p>
        </w:tc>
        <w:tc>
          <w:tcPr>
            <w:tcW w:w="661" w:type="dxa"/>
          </w:tcPr>
          <w:p w14:paraId="46FD1B3A">
            <w:pPr>
              <w:pStyle w:val="15"/>
              <w:adjustRightInd w:val="0"/>
              <w:snapToGrid w:val="0"/>
              <w:spacing w:line="240" w:lineRule="auto"/>
              <w:rPr>
                <w:color w:val="auto"/>
                <w:sz w:val="18"/>
                <w:szCs w:val="18"/>
                <w:highlight w:val="none"/>
              </w:rPr>
            </w:pPr>
          </w:p>
        </w:tc>
        <w:tc>
          <w:tcPr>
            <w:tcW w:w="1398" w:type="dxa"/>
          </w:tcPr>
          <w:p w14:paraId="7C7B1A0F">
            <w:pPr>
              <w:pStyle w:val="15"/>
              <w:adjustRightInd w:val="0"/>
              <w:snapToGrid w:val="0"/>
              <w:spacing w:line="240" w:lineRule="auto"/>
              <w:rPr>
                <w:color w:val="auto"/>
                <w:sz w:val="18"/>
                <w:szCs w:val="18"/>
                <w:highlight w:val="none"/>
              </w:rPr>
            </w:pPr>
          </w:p>
        </w:tc>
        <w:tc>
          <w:tcPr>
            <w:tcW w:w="564" w:type="dxa"/>
          </w:tcPr>
          <w:p w14:paraId="212760D0">
            <w:pPr>
              <w:pStyle w:val="15"/>
              <w:adjustRightInd w:val="0"/>
              <w:snapToGrid w:val="0"/>
              <w:spacing w:line="240" w:lineRule="auto"/>
              <w:rPr>
                <w:color w:val="auto"/>
                <w:sz w:val="18"/>
                <w:szCs w:val="18"/>
                <w:highlight w:val="none"/>
              </w:rPr>
            </w:pPr>
          </w:p>
        </w:tc>
      </w:tr>
      <w:tr w14:paraId="3DD2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99927F2">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23</w:t>
            </w:r>
          </w:p>
        </w:tc>
        <w:tc>
          <w:tcPr>
            <w:tcW w:w="1268" w:type="dxa"/>
            <w:vMerge w:val="continue"/>
            <w:vAlign w:val="center"/>
          </w:tcPr>
          <w:p w14:paraId="1FB877E7">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1439DBC8">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1</w:t>
            </w:r>
            <w:r>
              <w:rPr>
                <w:rFonts w:hint="eastAsia" w:ascii="宋体" w:hAnsi="宋体" w:eastAsia="宋体" w:cs="宋体"/>
                <w:bCs/>
                <w:color w:val="auto"/>
                <w:kern w:val="0"/>
                <w:sz w:val="18"/>
                <w:szCs w:val="18"/>
                <w:highlight w:val="none"/>
                <w:shd w:val="clear" w:color="auto" w:fill="FFFFFF"/>
                <w:lang w:val="en-US" w:eastAsia="zh-CN"/>
              </w:rPr>
              <w:t>8</w:t>
            </w:r>
            <w:r>
              <w:rPr>
                <w:rFonts w:hint="eastAsia" w:ascii="宋体" w:hAnsi="宋体" w:eastAsia="宋体" w:cs="宋体"/>
                <w:bCs/>
                <w:color w:val="auto"/>
                <w:kern w:val="0"/>
                <w:sz w:val="18"/>
                <w:szCs w:val="18"/>
                <w:highlight w:val="none"/>
                <w:shd w:val="clear" w:color="auto" w:fill="FFFFFF"/>
              </w:rPr>
              <w:t>、眼前节扫描深度：≥12mm</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128BCCF4">
            <w:pPr>
              <w:pStyle w:val="15"/>
              <w:adjustRightInd w:val="0"/>
              <w:snapToGrid w:val="0"/>
              <w:spacing w:line="240" w:lineRule="auto"/>
              <w:rPr>
                <w:color w:val="auto"/>
                <w:sz w:val="18"/>
                <w:szCs w:val="18"/>
                <w:highlight w:val="none"/>
              </w:rPr>
            </w:pPr>
          </w:p>
        </w:tc>
        <w:tc>
          <w:tcPr>
            <w:tcW w:w="661" w:type="dxa"/>
          </w:tcPr>
          <w:p w14:paraId="078D91A0">
            <w:pPr>
              <w:pStyle w:val="15"/>
              <w:adjustRightInd w:val="0"/>
              <w:snapToGrid w:val="0"/>
              <w:spacing w:line="240" w:lineRule="auto"/>
              <w:rPr>
                <w:color w:val="auto"/>
                <w:sz w:val="18"/>
                <w:szCs w:val="18"/>
                <w:highlight w:val="none"/>
              </w:rPr>
            </w:pPr>
          </w:p>
        </w:tc>
        <w:tc>
          <w:tcPr>
            <w:tcW w:w="1398" w:type="dxa"/>
          </w:tcPr>
          <w:p w14:paraId="0C7A01E3">
            <w:pPr>
              <w:pStyle w:val="15"/>
              <w:adjustRightInd w:val="0"/>
              <w:snapToGrid w:val="0"/>
              <w:spacing w:line="240" w:lineRule="auto"/>
              <w:rPr>
                <w:color w:val="auto"/>
                <w:sz w:val="18"/>
                <w:szCs w:val="18"/>
                <w:highlight w:val="none"/>
              </w:rPr>
            </w:pPr>
          </w:p>
        </w:tc>
        <w:tc>
          <w:tcPr>
            <w:tcW w:w="564" w:type="dxa"/>
          </w:tcPr>
          <w:p w14:paraId="43CF6788">
            <w:pPr>
              <w:pStyle w:val="15"/>
              <w:adjustRightInd w:val="0"/>
              <w:snapToGrid w:val="0"/>
              <w:spacing w:line="240" w:lineRule="auto"/>
              <w:rPr>
                <w:color w:val="auto"/>
                <w:sz w:val="18"/>
                <w:szCs w:val="18"/>
                <w:highlight w:val="none"/>
              </w:rPr>
            </w:pPr>
          </w:p>
        </w:tc>
      </w:tr>
      <w:tr w14:paraId="5678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21EE151">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24</w:t>
            </w:r>
          </w:p>
        </w:tc>
        <w:tc>
          <w:tcPr>
            <w:tcW w:w="1268" w:type="dxa"/>
            <w:vMerge w:val="continue"/>
            <w:vAlign w:val="center"/>
          </w:tcPr>
          <w:p w14:paraId="507D44B0">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65B5653D">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19、眼前节扫描长度：≥24mm</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3CE87593">
            <w:pPr>
              <w:pStyle w:val="15"/>
              <w:adjustRightInd w:val="0"/>
              <w:snapToGrid w:val="0"/>
              <w:spacing w:line="240" w:lineRule="auto"/>
              <w:rPr>
                <w:color w:val="auto"/>
                <w:sz w:val="18"/>
                <w:szCs w:val="18"/>
                <w:highlight w:val="none"/>
              </w:rPr>
            </w:pPr>
          </w:p>
        </w:tc>
        <w:tc>
          <w:tcPr>
            <w:tcW w:w="661" w:type="dxa"/>
          </w:tcPr>
          <w:p w14:paraId="69635562">
            <w:pPr>
              <w:pStyle w:val="15"/>
              <w:adjustRightInd w:val="0"/>
              <w:snapToGrid w:val="0"/>
              <w:spacing w:line="240" w:lineRule="auto"/>
              <w:rPr>
                <w:color w:val="auto"/>
                <w:sz w:val="18"/>
                <w:szCs w:val="18"/>
                <w:highlight w:val="none"/>
              </w:rPr>
            </w:pPr>
          </w:p>
        </w:tc>
        <w:tc>
          <w:tcPr>
            <w:tcW w:w="1398" w:type="dxa"/>
          </w:tcPr>
          <w:p w14:paraId="43BEA0FD">
            <w:pPr>
              <w:pStyle w:val="15"/>
              <w:adjustRightInd w:val="0"/>
              <w:snapToGrid w:val="0"/>
              <w:spacing w:line="240" w:lineRule="auto"/>
              <w:rPr>
                <w:color w:val="auto"/>
                <w:sz w:val="18"/>
                <w:szCs w:val="18"/>
                <w:highlight w:val="none"/>
              </w:rPr>
            </w:pPr>
          </w:p>
        </w:tc>
        <w:tc>
          <w:tcPr>
            <w:tcW w:w="564" w:type="dxa"/>
          </w:tcPr>
          <w:p w14:paraId="18AB9E15">
            <w:pPr>
              <w:pStyle w:val="15"/>
              <w:adjustRightInd w:val="0"/>
              <w:snapToGrid w:val="0"/>
              <w:spacing w:line="240" w:lineRule="auto"/>
              <w:rPr>
                <w:color w:val="auto"/>
                <w:sz w:val="18"/>
                <w:szCs w:val="18"/>
                <w:highlight w:val="none"/>
              </w:rPr>
            </w:pPr>
          </w:p>
        </w:tc>
      </w:tr>
      <w:tr w14:paraId="1D58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A826027">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25</w:t>
            </w:r>
          </w:p>
        </w:tc>
        <w:tc>
          <w:tcPr>
            <w:tcW w:w="1268" w:type="dxa"/>
            <w:vMerge w:val="continue"/>
            <w:vAlign w:val="center"/>
          </w:tcPr>
          <w:p w14:paraId="0FF309D3">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06779537">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20、眼前节分析软件：自动或手动测量ICL拱高，前房深度、前房体积、房角隐窝距离、巩膜突距离。3D重建房角状态，自动测量房角角度，巩膜突角度、房角开放面积、小梁网虹膜间面积。半自动角膜瓣厚度及位置测量。支持360全景房角自动量化</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771E1446">
            <w:pPr>
              <w:pStyle w:val="15"/>
              <w:adjustRightInd w:val="0"/>
              <w:snapToGrid w:val="0"/>
              <w:spacing w:line="240" w:lineRule="auto"/>
              <w:rPr>
                <w:color w:val="auto"/>
                <w:sz w:val="18"/>
                <w:szCs w:val="18"/>
                <w:highlight w:val="none"/>
              </w:rPr>
            </w:pPr>
          </w:p>
        </w:tc>
        <w:tc>
          <w:tcPr>
            <w:tcW w:w="661" w:type="dxa"/>
          </w:tcPr>
          <w:p w14:paraId="4506DB72">
            <w:pPr>
              <w:pStyle w:val="15"/>
              <w:adjustRightInd w:val="0"/>
              <w:snapToGrid w:val="0"/>
              <w:spacing w:line="240" w:lineRule="auto"/>
              <w:rPr>
                <w:color w:val="auto"/>
                <w:sz w:val="18"/>
                <w:szCs w:val="18"/>
                <w:highlight w:val="none"/>
              </w:rPr>
            </w:pPr>
          </w:p>
        </w:tc>
        <w:tc>
          <w:tcPr>
            <w:tcW w:w="1398" w:type="dxa"/>
          </w:tcPr>
          <w:p w14:paraId="1D66F65C">
            <w:pPr>
              <w:pStyle w:val="15"/>
              <w:adjustRightInd w:val="0"/>
              <w:snapToGrid w:val="0"/>
              <w:spacing w:line="240" w:lineRule="auto"/>
              <w:rPr>
                <w:color w:val="auto"/>
                <w:sz w:val="18"/>
                <w:szCs w:val="18"/>
                <w:highlight w:val="none"/>
              </w:rPr>
            </w:pPr>
          </w:p>
        </w:tc>
        <w:tc>
          <w:tcPr>
            <w:tcW w:w="564" w:type="dxa"/>
          </w:tcPr>
          <w:p w14:paraId="4A56CA73">
            <w:pPr>
              <w:pStyle w:val="15"/>
              <w:adjustRightInd w:val="0"/>
              <w:snapToGrid w:val="0"/>
              <w:spacing w:line="240" w:lineRule="auto"/>
              <w:rPr>
                <w:color w:val="auto"/>
                <w:sz w:val="18"/>
                <w:szCs w:val="18"/>
                <w:highlight w:val="none"/>
              </w:rPr>
            </w:pPr>
          </w:p>
        </w:tc>
      </w:tr>
      <w:tr w14:paraId="5C6C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7CEFF3E">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26</w:t>
            </w:r>
          </w:p>
        </w:tc>
        <w:tc>
          <w:tcPr>
            <w:tcW w:w="1268" w:type="dxa"/>
            <w:vMerge w:val="restart"/>
            <w:vAlign w:val="center"/>
          </w:tcPr>
          <w:p w14:paraId="3EE34470">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三、技术参数要求：（六）配置清单：</w:t>
            </w:r>
          </w:p>
        </w:tc>
        <w:tc>
          <w:tcPr>
            <w:tcW w:w="4477" w:type="dxa"/>
            <w:vAlign w:val="center"/>
          </w:tcPr>
          <w:p w14:paraId="511D70AC">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21</w:t>
            </w:r>
            <w:r>
              <w:rPr>
                <w:rFonts w:hint="eastAsia" w:ascii="宋体" w:hAnsi="宋体" w:eastAsia="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rPr>
              <w:t>设备主机1台</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234F4E1C">
            <w:pPr>
              <w:pStyle w:val="15"/>
              <w:adjustRightInd w:val="0"/>
              <w:snapToGrid w:val="0"/>
              <w:spacing w:line="240" w:lineRule="auto"/>
              <w:rPr>
                <w:color w:val="auto"/>
                <w:sz w:val="18"/>
                <w:szCs w:val="18"/>
                <w:highlight w:val="none"/>
              </w:rPr>
            </w:pPr>
          </w:p>
        </w:tc>
        <w:tc>
          <w:tcPr>
            <w:tcW w:w="661" w:type="dxa"/>
          </w:tcPr>
          <w:p w14:paraId="7E4B3A0E">
            <w:pPr>
              <w:pStyle w:val="15"/>
              <w:adjustRightInd w:val="0"/>
              <w:snapToGrid w:val="0"/>
              <w:spacing w:line="240" w:lineRule="auto"/>
              <w:rPr>
                <w:color w:val="auto"/>
                <w:sz w:val="18"/>
                <w:szCs w:val="18"/>
                <w:highlight w:val="none"/>
              </w:rPr>
            </w:pPr>
          </w:p>
        </w:tc>
        <w:tc>
          <w:tcPr>
            <w:tcW w:w="1398" w:type="dxa"/>
          </w:tcPr>
          <w:p w14:paraId="1CB45A96">
            <w:pPr>
              <w:pStyle w:val="15"/>
              <w:adjustRightInd w:val="0"/>
              <w:snapToGrid w:val="0"/>
              <w:spacing w:line="240" w:lineRule="auto"/>
              <w:rPr>
                <w:color w:val="auto"/>
                <w:sz w:val="18"/>
                <w:szCs w:val="18"/>
                <w:highlight w:val="none"/>
              </w:rPr>
            </w:pPr>
          </w:p>
        </w:tc>
        <w:tc>
          <w:tcPr>
            <w:tcW w:w="564" w:type="dxa"/>
          </w:tcPr>
          <w:p w14:paraId="41B79FB5">
            <w:pPr>
              <w:pStyle w:val="15"/>
              <w:adjustRightInd w:val="0"/>
              <w:snapToGrid w:val="0"/>
              <w:spacing w:line="240" w:lineRule="auto"/>
              <w:rPr>
                <w:color w:val="auto"/>
                <w:sz w:val="18"/>
                <w:szCs w:val="18"/>
                <w:highlight w:val="none"/>
              </w:rPr>
            </w:pPr>
          </w:p>
        </w:tc>
      </w:tr>
      <w:tr w14:paraId="4BCBE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1913D3A">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27</w:t>
            </w:r>
          </w:p>
        </w:tc>
        <w:tc>
          <w:tcPr>
            <w:tcW w:w="1268" w:type="dxa"/>
            <w:vMerge w:val="continue"/>
            <w:vAlign w:val="center"/>
          </w:tcPr>
          <w:p w14:paraId="447A899E">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11AF71E5">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22、眼前节适配器1套</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31600217">
            <w:pPr>
              <w:pStyle w:val="15"/>
              <w:adjustRightInd w:val="0"/>
              <w:snapToGrid w:val="0"/>
              <w:spacing w:line="240" w:lineRule="auto"/>
              <w:rPr>
                <w:color w:val="auto"/>
                <w:sz w:val="18"/>
                <w:szCs w:val="18"/>
                <w:highlight w:val="none"/>
              </w:rPr>
            </w:pPr>
          </w:p>
        </w:tc>
        <w:tc>
          <w:tcPr>
            <w:tcW w:w="661" w:type="dxa"/>
          </w:tcPr>
          <w:p w14:paraId="1A91755C">
            <w:pPr>
              <w:pStyle w:val="15"/>
              <w:adjustRightInd w:val="0"/>
              <w:snapToGrid w:val="0"/>
              <w:spacing w:line="240" w:lineRule="auto"/>
              <w:rPr>
                <w:color w:val="auto"/>
                <w:sz w:val="18"/>
                <w:szCs w:val="18"/>
                <w:highlight w:val="none"/>
              </w:rPr>
            </w:pPr>
          </w:p>
        </w:tc>
        <w:tc>
          <w:tcPr>
            <w:tcW w:w="1398" w:type="dxa"/>
          </w:tcPr>
          <w:p w14:paraId="18C63775">
            <w:pPr>
              <w:pStyle w:val="15"/>
              <w:adjustRightInd w:val="0"/>
              <w:snapToGrid w:val="0"/>
              <w:spacing w:line="240" w:lineRule="auto"/>
              <w:rPr>
                <w:color w:val="auto"/>
                <w:sz w:val="18"/>
                <w:szCs w:val="18"/>
                <w:highlight w:val="none"/>
              </w:rPr>
            </w:pPr>
          </w:p>
        </w:tc>
        <w:tc>
          <w:tcPr>
            <w:tcW w:w="564" w:type="dxa"/>
          </w:tcPr>
          <w:p w14:paraId="35A41E4A">
            <w:pPr>
              <w:pStyle w:val="15"/>
              <w:adjustRightInd w:val="0"/>
              <w:snapToGrid w:val="0"/>
              <w:spacing w:line="240" w:lineRule="auto"/>
              <w:rPr>
                <w:color w:val="auto"/>
                <w:sz w:val="18"/>
                <w:szCs w:val="18"/>
                <w:highlight w:val="none"/>
              </w:rPr>
            </w:pPr>
          </w:p>
        </w:tc>
      </w:tr>
      <w:tr w14:paraId="3F12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25F36EA">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28</w:t>
            </w:r>
          </w:p>
        </w:tc>
        <w:tc>
          <w:tcPr>
            <w:tcW w:w="1268" w:type="dxa"/>
            <w:vMerge w:val="continue"/>
            <w:vAlign w:val="center"/>
          </w:tcPr>
          <w:p w14:paraId="3B9DC606">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22D5756D">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23、电动升降台1台</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3A89FB35">
            <w:pPr>
              <w:pStyle w:val="15"/>
              <w:adjustRightInd w:val="0"/>
              <w:snapToGrid w:val="0"/>
              <w:spacing w:line="240" w:lineRule="auto"/>
              <w:rPr>
                <w:color w:val="auto"/>
                <w:sz w:val="18"/>
                <w:szCs w:val="18"/>
                <w:highlight w:val="none"/>
              </w:rPr>
            </w:pPr>
          </w:p>
        </w:tc>
        <w:tc>
          <w:tcPr>
            <w:tcW w:w="661" w:type="dxa"/>
          </w:tcPr>
          <w:p w14:paraId="5FEDD818">
            <w:pPr>
              <w:pStyle w:val="15"/>
              <w:adjustRightInd w:val="0"/>
              <w:snapToGrid w:val="0"/>
              <w:spacing w:line="240" w:lineRule="auto"/>
              <w:rPr>
                <w:color w:val="auto"/>
                <w:sz w:val="18"/>
                <w:szCs w:val="18"/>
                <w:highlight w:val="none"/>
              </w:rPr>
            </w:pPr>
          </w:p>
        </w:tc>
        <w:tc>
          <w:tcPr>
            <w:tcW w:w="1398" w:type="dxa"/>
          </w:tcPr>
          <w:p w14:paraId="716DA00D">
            <w:pPr>
              <w:pStyle w:val="15"/>
              <w:adjustRightInd w:val="0"/>
              <w:snapToGrid w:val="0"/>
              <w:spacing w:line="240" w:lineRule="auto"/>
              <w:rPr>
                <w:color w:val="auto"/>
                <w:sz w:val="18"/>
                <w:szCs w:val="18"/>
                <w:highlight w:val="none"/>
              </w:rPr>
            </w:pPr>
          </w:p>
        </w:tc>
        <w:tc>
          <w:tcPr>
            <w:tcW w:w="564" w:type="dxa"/>
          </w:tcPr>
          <w:p w14:paraId="35D9AE7A">
            <w:pPr>
              <w:pStyle w:val="15"/>
              <w:adjustRightInd w:val="0"/>
              <w:snapToGrid w:val="0"/>
              <w:spacing w:line="240" w:lineRule="auto"/>
              <w:rPr>
                <w:color w:val="auto"/>
                <w:sz w:val="18"/>
                <w:szCs w:val="18"/>
                <w:highlight w:val="none"/>
              </w:rPr>
            </w:pPr>
          </w:p>
        </w:tc>
      </w:tr>
      <w:tr w14:paraId="5D4E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48BE562">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29</w:t>
            </w:r>
          </w:p>
        </w:tc>
        <w:tc>
          <w:tcPr>
            <w:tcW w:w="1268" w:type="dxa"/>
            <w:vMerge w:val="continue"/>
            <w:vAlign w:val="center"/>
          </w:tcPr>
          <w:p w14:paraId="02BB84E2">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362C2A4E">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24、电脑主机1套</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73F2C175">
            <w:pPr>
              <w:pStyle w:val="15"/>
              <w:adjustRightInd w:val="0"/>
              <w:snapToGrid w:val="0"/>
              <w:spacing w:line="240" w:lineRule="auto"/>
              <w:rPr>
                <w:color w:val="auto"/>
                <w:sz w:val="18"/>
                <w:szCs w:val="18"/>
                <w:highlight w:val="none"/>
              </w:rPr>
            </w:pPr>
          </w:p>
        </w:tc>
        <w:tc>
          <w:tcPr>
            <w:tcW w:w="661" w:type="dxa"/>
          </w:tcPr>
          <w:p w14:paraId="318F7BB2">
            <w:pPr>
              <w:pStyle w:val="15"/>
              <w:adjustRightInd w:val="0"/>
              <w:snapToGrid w:val="0"/>
              <w:spacing w:line="240" w:lineRule="auto"/>
              <w:rPr>
                <w:color w:val="auto"/>
                <w:sz w:val="18"/>
                <w:szCs w:val="18"/>
                <w:highlight w:val="none"/>
              </w:rPr>
            </w:pPr>
          </w:p>
        </w:tc>
        <w:tc>
          <w:tcPr>
            <w:tcW w:w="1398" w:type="dxa"/>
          </w:tcPr>
          <w:p w14:paraId="6F0F8A2C">
            <w:pPr>
              <w:pStyle w:val="15"/>
              <w:adjustRightInd w:val="0"/>
              <w:snapToGrid w:val="0"/>
              <w:spacing w:line="240" w:lineRule="auto"/>
              <w:rPr>
                <w:color w:val="auto"/>
                <w:sz w:val="18"/>
                <w:szCs w:val="18"/>
                <w:highlight w:val="none"/>
              </w:rPr>
            </w:pPr>
          </w:p>
        </w:tc>
        <w:tc>
          <w:tcPr>
            <w:tcW w:w="564" w:type="dxa"/>
          </w:tcPr>
          <w:p w14:paraId="441ACE87">
            <w:pPr>
              <w:pStyle w:val="15"/>
              <w:adjustRightInd w:val="0"/>
              <w:snapToGrid w:val="0"/>
              <w:spacing w:line="240" w:lineRule="auto"/>
              <w:rPr>
                <w:color w:val="auto"/>
                <w:sz w:val="18"/>
                <w:szCs w:val="18"/>
                <w:highlight w:val="none"/>
              </w:rPr>
            </w:pPr>
          </w:p>
        </w:tc>
      </w:tr>
      <w:tr w14:paraId="13578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8B7A770">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30</w:t>
            </w:r>
          </w:p>
        </w:tc>
        <w:tc>
          <w:tcPr>
            <w:tcW w:w="1268" w:type="dxa"/>
            <w:vMerge w:val="continue"/>
            <w:vAlign w:val="center"/>
          </w:tcPr>
          <w:p w14:paraId="105F3A2E">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00F67BB3">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25、系统电源1套</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520FB91E">
            <w:pPr>
              <w:pStyle w:val="15"/>
              <w:adjustRightInd w:val="0"/>
              <w:snapToGrid w:val="0"/>
              <w:spacing w:line="240" w:lineRule="auto"/>
              <w:rPr>
                <w:color w:val="auto"/>
                <w:sz w:val="18"/>
                <w:szCs w:val="18"/>
                <w:highlight w:val="none"/>
              </w:rPr>
            </w:pPr>
          </w:p>
        </w:tc>
        <w:tc>
          <w:tcPr>
            <w:tcW w:w="661" w:type="dxa"/>
          </w:tcPr>
          <w:p w14:paraId="4BC89DD7">
            <w:pPr>
              <w:pStyle w:val="15"/>
              <w:adjustRightInd w:val="0"/>
              <w:snapToGrid w:val="0"/>
              <w:spacing w:line="240" w:lineRule="auto"/>
              <w:rPr>
                <w:color w:val="auto"/>
                <w:sz w:val="18"/>
                <w:szCs w:val="18"/>
                <w:highlight w:val="none"/>
              </w:rPr>
            </w:pPr>
          </w:p>
        </w:tc>
        <w:tc>
          <w:tcPr>
            <w:tcW w:w="1398" w:type="dxa"/>
          </w:tcPr>
          <w:p w14:paraId="7EC13801">
            <w:pPr>
              <w:pStyle w:val="15"/>
              <w:adjustRightInd w:val="0"/>
              <w:snapToGrid w:val="0"/>
              <w:spacing w:line="240" w:lineRule="auto"/>
              <w:rPr>
                <w:color w:val="auto"/>
                <w:sz w:val="18"/>
                <w:szCs w:val="18"/>
                <w:highlight w:val="none"/>
              </w:rPr>
            </w:pPr>
          </w:p>
        </w:tc>
        <w:tc>
          <w:tcPr>
            <w:tcW w:w="564" w:type="dxa"/>
          </w:tcPr>
          <w:p w14:paraId="12CA1C7E">
            <w:pPr>
              <w:pStyle w:val="15"/>
              <w:adjustRightInd w:val="0"/>
              <w:snapToGrid w:val="0"/>
              <w:spacing w:line="240" w:lineRule="auto"/>
              <w:rPr>
                <w:color w:val="auto"/>
                <w:sz w:val="18"/>
                <w:szCs w:val="18"/>
                <w:highlight w:val="none"/>
              </w:rPr>
            </w:pPr>
          </w:p>
        </w:tc>
      </w:tr>
      <w:tr w14:paraId="1E2EC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4C396D7">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31</w:t>
            </w:r>
          </w:p>
        </w:tc>
        <w:tc>
          <w:tcPr>
            <w:tcW w:w="1268" w:type="dxa"/>
            <w:vMerge w:val="continue"/>
            <w:vAlign w:val="center"/>
          </w:tcPr>
          <w:p w14:paraId="319E1E71">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1C13A6EA">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26、打印机1套</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57B121B4">
            <w:pPr>
              <w:pStyle w:val="15"/>
              <w:adjustRightInd w:val="0"/>
              <w:snapToGrid w:val="0"/>
              <w:spacing w:line="240" w:lineRule="auto"/>
              <w:rPr>
                <w:color w:val="auto"/>
                <w:sz w:val="18"/>
                <w:szCs w:val="18"/>
                <w:highlight w:val="none"/>
              </w:rPr>
            </w:pPr>
          </w:p>
        </w:tc>
        <w:tc>
          <w:tcPr>
            <w:tcW w:w="661" w:type="dxa"/>
          </w:tcPr>
          <w:p w14:paraId="50C72647">
            <w:pPr>
              <w:pStyle w:val="15"/>
              <w:adjustRightInd w:val="0"/>
              <w:snapToGrid w:val="0"/>
              <w:spacing w:line="240" w:lineRule="auto"/>
              <w:rPr>
                <w:color w:val="auto"/>
                <w:sz w:val="18"/>
                <w:szCs w:val="18"/>
                <w:highlight w:val="none"/>
              </w:rPr>
            </w:pPr>
          </w:p>
        </w:tc>
        <w:tc>
          <w:tcPr>
            <w:tcW w:w="1398" w:type="dxa"/>
          </w:tcPr>
          <w:p w14:paraId="050ACDEE">
            <w:pPr>
              <w:pStyle w:val="15"/>
              <w:adjustRightInd w:val="0"/>
              <w:snapToGrid w:val="0"/>
              <w:spacing w:line="240" w:lineRule="auto"/>
              <w:rPr>
                <w:color w:val="auto"/>
                <w:sz w:val="18"/>
                <w:szCs w:val="18"/>
                <w:highlight w:val="none"/>
              </w:rPr>
            </w:pPr>
          </w:p>
        </w:tc>
        <w:tc>
          <w:tcPr>
            <w:tcW w:w="564" w:type="dxa"/>
          </w:tcPr>
          <w:p w14:paraId="676A5B9A">
            <w:pPr>
              <w:pStyle w:val="15"/>
              <w:adjustRightInd w:val="0"/>
              <w:snapToGrid w:val="0"/>
              <w:spacing w:line="240" w:lineRule="auto"/>
              <w:rPr>
                <w:color w:val="auto"/>
                <w:sz w:val="18"/>
                <w:szCs w:val="18"/>
                <w:highlight w:val="none"/>
              </w:rPr>
            </w:pPr>
          </w:p>
        </w:tc>
      </w:tr>
      <w:tr w14:paraId="1D4F8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692543C">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32</w:t>
            </w:r>
          </w:p>
        </w:tc>
        <w:tc>
          <w:tcPr>
            <w:tcW w:w="1268" w:type="dxa"/>
            <w:vMerge w:val="continue"/>
            <w:vAlign w:val="center"/>
          </w:tcPr>
          <w:p w14:paraId="3BF7F21F">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6EA3B23D">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27、显示器1台</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3A6894A7">
            <w:pPr>
              <w:pStyle w:val="15"/>
              <w:adjustRightInd w:val="0"/>
              <w:snapToGrid w:val="0"/>
              <w:spacing w:line="240" w:lineRule="auto"/>
              <w:rPr>
                <w:color w:val="auto"/>
                <w:sz w:val="18"/>
                <w:szCs w:val="18"/>
                <w:highlight w:val="none"/>
              </w:rPr>
            </w:pPr>
          </w:p>
        </w:tc>
        <w:tc>
          <w:tcPr>
            <w:tcW w:w="661" w:type="dxa"/>
          </w:tcPr>
          <w:p w14:paraId="402E7EB5">
            <w:pPr>
              <w:pStyle w:val="15"/>
              <w:adjustRightInd w:val="0"/>
              <w:snapToGrid w:val="0"/>
              <w:spacing w:line="240" w:lineRule="auto"/>
              <w:rPr>
                <w:color w:val="auto"/>
                <w:sz w:val="18"/>
                <w:szCs w:val="18"/>
                <w:highlight w:val="none"/>
              </w:rPr>
            </w:pPr>
          </w:p>
        </w:tc>
        <w:tc>
          <w:tcPr>
            <w:tcW w:w="1398" w:type="dxa"/>
          </w:tcPr>
          <w:p w14:paraId="28378638">
            <w:pPr>
              <w:pStyle w:val="15"/>
              <w:adjustRightInd w:val="0"/>
              <w:snapToGrid w:val="0"/>
              <w:spacing w:line="240" w:lineRule="auto"/>
              <w:rPr>
                <w:color w:val="auto"/>
                <w:sz w:val="18"/>
                <w:szCs w:val="18"/>
                <w:highlight w:val="none"/>
              </w:rPr>
            </w:pPr>
          </w:p>
        </w:tc>
        <w:tc>
          <w:tcPr>
            <w:tcW w:w="564" w:type="dxa"/>
          </w:tcPr>
          <w:p w14:paraId="059AA1B1">
            <w:pPr>
              <w:pStyle w:val="15"/>
              <w:adjustRightInd w:val="0"/>
              <w:snapToGrid w:val="0"/>
              <w:spacing w:line="240" w:lineRule="auto"/>
              <w:rPr>
                <w:color w:val="auto"/>
                <w:sz w:val="18"/>
                <w:szCs w:val="18"/>
                <w:highlight w:val="none"/>
              </w:rPr>
            </w:pPr>
          </w:p>
        </w:tc>
      </w:tr>
      <w:tr w14:paraId="6A365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1D29D5A4">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33</w:t>
            </w:r>
          </w:p>
        </w:tc>
        <w:tc>
          <w:tcPr>
            <w:tcW w:w="1268" w:type="dxa"/>
            <w:vMerge w:val="continue"/>
            <w:vAlign w:val="center"/>
          </w:tcPr>
          <w:p w14:paraId="03619F4F">
            <w:pPr>
              <w:pStyle w:val="22"/>
              <w:tabs>
                <w:tab w:val="left" w:pos="630"/>
              </w:tabs>
              <w:snapToGrid w:val="0"/>
              <w:spacing w:after="0" w:line="240" w:lineRule="auto"/>
              <w:rPr>
                <w:rFonts w:hint="eastAsia" w:hAnsi="宋体" w:cs="Times New Roman"/>
                <w:color w:val="auto"/>
                <w:sz w:val="18"/>
                <w:szCs w:val="18"/>
                <w:highlight w:val="none"/>
              </w:rPr>
            </w:pPr>
          </w:p>
        </w:tc>
        <w:tc>
          <w:tcPr>
            <w:tcW w:w="4477" w:type="dxa"/>
            <w:vAlign w:val="center"/>
          </w:tcPr>
          <w:p w14:paraId="32D64386">
            <w:pPr>
              <w:snapToGrid w:val="0"/>
              <w:spacing w:after="0" w:line="240" w:lineRule="auto"/>
              <w:rPr>
                <w:rFonts w:hint="eastAsia" w:ascii="宋体" w:hAnsi="宋体" w:eastAsia="宋体" w:cs="宋体"/>
                <w:bCs/>
                <w:color w:val="auto"/>
                <w:kern w:val="0"/>
                <w:sz w:val="18"/>
                <w:szCs w:val="18"/>
                <w:highlight w:val="none"/>
                <w:shd w:val="clear" w:color="auto" w:fill="FFFFFF"/>
              </w:rPr>
            </w:pPr>
            <w:r>
              <w:rPr>
                <w:rFonts w:hint="eastAsia" w:ascii="宋体" w:hAnsi="宋体" w:eastAsia="宋体" w:cs="宋体"/>
                <w:bCs/>
                <w:color w:val="auto"/>
                <w:kern w:val="0"/>
                <w:sz w:val="18"/>
                <w:szCs w:val="18"/>
                <w:highlight w:val="none"/>
                <w:shd w:val="clear" w:color="auto" w:fill="FFFFFF"/>
              </w:rPr>
              <w:t>21</w:t>
            </w:r>
            <w:r>
              <w:rPr>
                <w:rFonts w:hint="eastAsia" w:ascii="宋体" w:hAnsi="宋体" w:eastAsia="宋体" w:cs="宋体"/>
                <w:bCs/>
                <w:color w:val="auto"/>
                <w:kern w:val="0"/>
                <w:sz w:val="18"/>
                <w:szCs w:val="18"/>
                <w:highlight w:val="none"/>
                <w:shd w:val="clear" w:color="auto" w:fill="FFFFFF"/>
                <w:lang w:eastAsia="zh-CN"/>
              </w:rPr>
              <w:t>、</w:t>
            </w:r>
            <w:r>
              <w:rPr>
                <w:rFonts w:hint="eastAsia" w:ascii="宋体" w:hAnsi="宋体" w:eastAsia="宋体" w:cs="宋体"/>
                <w:bCs/>
                <w:color w:val="auto"/>
                <w:kern w:val="0"/>
                <w:sz w:val="18"/>
                <w:szCs w:val="18"/>
                <w:highlight w:val="none"/>
                <w:shd w:val="clear" w:color="auto" w:fill="FFFFFF"/>
              </w:rPr>
              <w:t>设备主机1台</w:t>
            </w:r>
            <w:r>
              <w:rPr>
                <w:rFonts w:hint="eastAsia" w:ascii="宋体" w:hAnsi="宋体" w:eastAsia="宋体" w:cs="宋体"/>
                <w:bCs/>
                <w:color w:val="auto"/>
                <w:kern w:val="0"/>
                <w:sz w:val="18"/>
                <w:szCs w:val="18"/>
                <w:highlight w:val="none"/>
                <w:shd w:val="clear" w:color="auto" w:fill="FFFFFF"/>
                <w:lang w:eastAsia="zh-CN"/>
              </w:rPr>
              <w:t>。</w:t>
            </w:r>
          </w:p>
        </w:tc>
        <w:tc>
          <w:tcPr>
            <w:tcW w:w="1075" w:type="dxa"/>
          </w:tcPr>
          <w:p w14:paraId="0EB8C8C9">
            <w:pPr>
              <w:pStyle w:val="15"/>
              <w:adjustRightInd w:val="0"/>
              <w:snapToGrid w:val="0"/>
              <w:spacing w:line="240" w:lineRule="auto"/>
              <w:rPr>
                <w:color w:val="auto"/>
                <w:sz w:val="18"/>
                <w:szCs w:val="18"/>
                <w:highlight w:val="none"/>
              </w:rPr>
            </w:pPr>
          </w:p>
        </w:tc>
        <w:tc>
          <w:tcPr>
            <w:tcW w:w="661" w:type="dxa"/>
          </w:tcPr>
          <w:p w14:paraId="02A866CD">
            <w:pPr>
              <w:pStyle w:val="15"/>
              <w:adjustRightInd w:val="0"/>
              <w:snapToGrid w:val="0"/>
              <w:spacing w:line="240" w:lineRule="auto"/>
              <w:rPr>
                <w:color w:val="auto"/>
                <w:sz w:val="18"/>
                <w:szCs w:val="18"/>
                <w:highlight w:val="none"/>
              </w:rPr>
            </w:pPr>
          </w:p>
        </w:tc>
        <w:tc>
          <w:tcPr>
            <w:tcW w:w="1398" w:type="dxa"/>
          </w:tcPr>
          <w:p w14:paraId="6C83F90F">
            <w:pPr>
              <w:pStyle w:val="15"/>
              <w:adjustRightInd w:val="0"/>
              <w:snapToGrid w:val="0"/>
              <w:spacing w:line="240" w:lineRule="auto"/>
              <w:rPr>
                <w:color w:val="auto"/>
                <w:sz w:val="18"/>
                <w:szCs w:val="18"/>
                <w:highlight w:val="none"/>
              </w:rPr>
            </w:pPr>
          </w:p>
        </w:tc>
        <w:tc>
          <w:tcPr>
            <w:tcW w:w="564" w:type="dxa"/>
          </w:tcPr>
          <w:p w14:paraId="186A0F20">
            <w:pPr>
              <w:pStyle w:val="15"/>
              <w:adjustRightInd w:val="0"/>
              <w:snapToGrid w:val="0"/>
              <w:spacing w:line="240" w:lineRule="auto"/>
              <w:rPr>
                <w:color w:val="auto"/>
                <w:sz w:val="18"/>
                <w:szCs w:val="18"/>
                <w:highlight w:val="none"/>
              </w:rPr>
            </w:pPr>
          </w:p>
        </w:tc>
      </w:tr>
      <w:tr w14:paraId="1B6A2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851C535">
            <w:pPr>
              <w:pStyle w:val="22"/>
              <w:tabs>
                <w:tab w:val="left" w:pos="630"/>
              </w:tabs>
              <w:snapToGrid w:val="0"/>
              <w:spacing w:after="0" w:line="240" w:lineRule="auto"/>
              <w:jc w:val="center"/>
              <w:rPr>
                <w:rFonts w:hint="default" w:eastAsia="宋体"/>
                <w:b/>
                <w:color w:val="auto"/>
                <w:sz w:val="18"/>
                <w:szCs w:val="18"/>
                <w:highlight w:val="none"/>
                <w:lang w:val="en-US" w:eastAsia="zh-CN"/>
              </w:rPr>
            </w:pPr>
            <w:r>
              <w:rPr>
                <w:rFonts w:hint="eastAsia"/>
                <w:b/>
                <w:color w:val="auto"/>
                <w:sz w:val="18"/>
                <w:szCs w:val="18"/>
                <w:highlight w:val="none"/>
                <w:lang w:val="en-US" w:eastAsia="zh-CN"/>
              </w:rPr>
              <w:t>34</w:t>
            </w:r>
          </w:p>
        </w:tc>
        <w:tc>
          <w:tcPr>
            <w:tcW w:w="1268" w:type="dxa"/>
            <w:vAlign w:val="center"/>
          </w:tcPr>
          <w:p w14:paraId="36900A2A">
            <w:pPr>
              <w:pStyle w:val="22"/>
              <w:tabs>
                <w:tab w:val="left" w:pos="630"/>
              </w:tabs>
              <w:snapToGrid w:val="0"/>
              <w:spacing w:after="0" w:line="240" w:lineRule="auto"/>
              <w:rPr>
                <w:rFonts w:hint="eastAsia" w:hAnsi="宋体" w:eastAsia="宋体" w:cs="Times New Roman"/>
                <w:color w:val="auto"/>
                <w:sz w:val="18"/>
                <w:szCs w:val="18"/>
                <w:highlight w:val="none"/>
                <w:lang w:val="en-US" w:eastAsia="zh-CN"/>
              </w:rPr>
            </w:pPr>
            <w:r>
              <w:rPr>
                <w:rFonts w:hint="eastAsia" w:hAnsi="宋体" w:cs="Times New Roman"/>
                <w:color w:val="auto"/>
                <w:sz w:val="18"/>
                <w:szCs w:val="18"/>
                <w:highlight w:val="none"/>
                <w:lang w:val="en-US" w:eastAsia="zh-CN"/>
              </w:rPr>
              <w:t>说明：</w:t>
            </w:r>
          </w:p>
        </w:tc>
        <w:tc>
          <w:tcPr>
            <w:tcW w:w="4477" w:type="dxa"/>
            <w:vAlign w:val="center"/>
          </w:tcPr>
          <w:p w14:paraId="0D08A548">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（1）上述条款中：标注“★”号条款为实质性响应条款，投标人如有任何一条负偏离则导致投标无效；标注“▲”号条款（如有的话）为重点评审响应条款，投标人如有任何一条负偏离则影响评分。</w:t>
            </w:r>
          </w:p>
          <w:p w14:paraId="6196C2CF">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2）技术响应应有技术支持证明文件，如技术需求中有明确证明材料要求，则提供对应证明材料，“★”、“▲”参数如技术需求中未明确要求提供何种证明材料的，投标人应自行提供证明材料；自行提供的证明材料应是下列证明文件中的任意一种：①提供所有设备在社会上公开发布的带技术参数的宣传彩页；②提供互联网上下载打印的彩页截图，必须标明详细的查询网址并加盖生产厂商印章，方可为有效货物技术证明；③医疗器械注册检验报告（完整的）；④技术白皮书/原厂盖章技术说明。⑤经现场评标委员会评议后认可的证明材料。证明材料以中文为准，如为英文材料，应提供对应准确翻译件；同时应在证明材料中以勾线、画框等形式明确标注出技术需求在材料中的位置，并在响应偏离表中标明准确页码，否则将被视为负偏离。</w:t>
            </w:r>
          </w:p>
          <w:p w14:paraId="4B905782">
            <w:pPr>
              <w:pStyle w:val="22"/>
              <w:tabs>
                <w:tab w:val="left" w:pos="630"/>
              </w:tabs>
              <w:snapToGrid w:val="0"/>
              <w:spacing w:after="0" w:line="240" w:lineRule="auto"/>
              <w:rPr>
                <w:rFonts w:hint="eastAsia" w:hAnsi="宋体" w:cs="Times New Roman"/>
                <w:color w:val="auto"/>
                <w:sz w:val="18"/>
                <w:szCs w:val="18"/>
                <w:highlight w:val="none"/>
              </w:rPr>
            </w:pPr>
            <w:r>
              <w:rPr>
                <w:rFonts w:hint="eastAsia" w:hAnsi="宋体" w:cs="Times New Roman"/>
                <w:color w:val="auto"/>
                <w:sz w:val="18"/>
                <w:szCs w:val="18"/>
                <w:highlight w:val="none"/>
              </w:rPr>
              <w:t>（3）投标人应根据项目需求以适合产品投标，如负偏离项数较多，视为影响实现采购需求。</w:t>
            </w:r>
          </w:p>
        </w:tc>
        <w:tc>
          <w:tcPr>
            <w:tcW w:w="1075" w:type="dxa"/>
          </w:tcPr>
          <w:p w14:paraId="6A243E62">
            <w:pPr>
              <w:pStyle w:val="15"/>
              <w:adjustRightInd w:val="0"/>
              <w:snapToGrid w:val="0"/>
              <w:spacing w:line="240" w:lineRule="auto"/>
              <w:rPr>
                <w:color w:val="auto"/>
                <w:sz w:val="18"/>
                <w:szCs w:val="18"/>
                <w:highlight w:val="none"/>
              </w:rPr>
            </w:pPr>
          </w:p>
        </w:tc>
        <w:tc>
          <w:tcPr>
            <w:tcW w:w="661" w:type="dxa"/>
          </w:tcPr>
          <w:p w14:paraId="6142634D">
            <w:pPr>
              <w:pStyle w:val="15"/>
              <w:adjustRightInd w:val="0"/>
              <w:snapToGrid w:val="0"/>
              <w:spacing w:line="240" w:lineRule="auto"/>
              <w:rPr>
                <w:color w:val="auto"/>
                <w:sz w:val="18"/>
                <w:szCs w:val="18"/>
                <w:highlight w:val="none"/>
              </w:rPr>
            </w:pPr>
          </w:p>
        </w:tc>
        <w:tc>
          <w:tcPr>
            <w:tcW w:w="1398" w:type="dxa"/>
          </w:tcPr>
          <w:p w14:paraId="2812A049">
            <w:pPr>
              <w:pStyle w:val="15"/>
              <w:adjustRightInd w:val="0"/>
              <w:snapToGrid w:val="0"/>
              <w:spacing w:line="240" w:lineRule="auto"/>
              <w:rPr>
                <w:color w:val="auto"/>
                <w:sz w:val="18"/>
                <w:szCs w:val="18"/>
                <w:highlight w:val="none"/>
              </w:rPr>
            </w:pPr>
          </w:p>
        </w:tc>
        <w:tc>
          <w:tcPr>
            <w:tcW w:w="564" w:type="dxa"/>
          </w:tcPr>
          <w:p w14:paraId="12C4A05F">
            <w:pPr>
              <w:pStyle w:val="15"/>
              <w:adjustRightInd w:val="0"/>
              <w:snapToGrid w:val="0"/>
              <w:spacing w:line="240" w:lineRule="auto"/>
              <w:rPr>
                <w:color w:val="auto"/>
                <w:sz w:val="18"/>
                <w:szCs w:val="18"/>
                <w:highlight w:val="none"/>
              </w:rPr>
            </w:pPr>
          </w:p>
        </w:tc>
      </w:tr>
    </w:tbl>
    <w:p w14:paraId="5BB4B7B4">
      <w:pPr>
        <w:pStyle w:val="35"/>
        <w:spacing w:line="360" w:lineRule="exact"/>
        <w:rPr>
          <w:rFonts w:ascii="Times New Roman" w:hAnsi="Times New Roman"/>
          <w:b/>
          <w:bCs/>
          <w:color w:val="auto"/>
          <w:highlight w:val="none"/>
        </w:rPr>
      </w:pPr>
      <w:r>
        <w:rPr>
          <w:rFonts w:ascii="Times New Roman" w:hAnsi="Times New Roman"/>
          <w:b/>
          <w:bCs/>
          <w:color w:val="auto"/>
          <w:highlight w:val="none"/>
        </w:rPr>
        <w:t>注：</w:t>
      </w:r>
    </w:p>
    <w:p w14:paraId="11ECC02E">
      <w:pPr>
        <w:pStyle w:val="35"/>
        <w:spacing w:line="360" w:lineRule="exact"/>
        <w:rPr>
          <w:rFonts w:ascii="Times New Roman" w:hAnsi="Times New Roman"/>
          <w:color w:val="auto"/>
          <w:szCs w:val="21"/>
          <w:highlight w:val="none"/>
        </w:rPr>
      </w:pPr>
      <w:r>
        <w:rPr>
          <w:rFonts w:hint="eastAsia" w:ascii="Times New Roman" w:hAnsi="Times New Roman"/>
          <w:color w:val="auto"/>
          <w:szCs w:val="21"/>
          <w:highlight w:val="none"/>
        </w:rPr>
        <w:t>1. 投标人须根据第四章《采购需要》要求填写此表，作为投标文件的组成部分。</w:t>
      </w:r>
    </w:p>
    <w:p w14:paraId="506964B2">
      <w:pPr>
        <w:pStyle w:val="35"/>
        <w:spacing w:line="360" w:lineRule="exact"/>
        <w:rPr>
          <w:rFonts w:ascii="Times New Roman" w:hAnsi="Times New Roman"/>
          <w:color w:val="auto"/>
          <w:szCs w:val="21"/>
          <w:highlight w:val="none"/>
        </w:rPr>
      </w:pPr>
      <w:r>
        <w:rPr>
          <w:rFonts w:hint="eastAsia" w:ascii="Times New Roman" w:hAnsi="Times New Roman"/>
          <w:color w:val="auto"/>
          <w:szCs w:val="21"/>
          <w:highlight w:val="none"/>
        </w:rPr>
        <w:t>2.偏离包括正、负偏离，正偏离指投标人的响应高于招标文件要求，负偏离指投标人的响应低于招标文件要求。</w:t>
      </w:r>
    </w:p>
    <w:p w14:paraId="7B862B4E">
      <w:pPr>
        <w:pStyle w:val="35"/>
        <w:spacing w:line="360" w:lineRule="exact"/>
        <w:rPr>
          <w:rFonts w:ascii="Times New Roman" w:hAnsi="Times New Roman" w:cs="Microsoft New Tai Lue"/>
          <w:color w:val="auto"/>
          <w:szCs w:val="21"/>
          <w:highlight w:val="none"/>
        </w:rPr>
      </w:pPr>
      <w:r>
        <w:rPr>
          <w:rFonts w:hint="eastAsia" w:ascii="Times New Roman" w:hAnsi="Times New Roman" w:cs="Microsoft New Tai Lue"/>
          <w:color w:val="auto"/>
          <w:szCs w:val="21"/>
          <w:highlight w:val="none"/>
        </w:rPr>
        <w:t>3.</w:t>
      </w:r>
      <w:r>
        <w:rPr>
          <w:rFonts w:hint="eastAsia"/>
          <w:color w:val="auto"/>
          <w:szCs w:val="21"/>
          <w:highlight w:val="none"/>
        </w:rPr>
        <w:t>“对应的技术支持资料位置指向”中进行位置描述，并在相应的技术支持材料页中</w:t>
      </w:r>
      <w:r>
        <w:rPr>
          <w:rFonts w:hint="eastAsia"/>
          <w:b/>
          <w:color w:val="auto"/>
          <w:szCs w:val="21"/>
          <w:highlight w:val="none"/>
        </w:rPr>
        <w:t>用“～～”等明显标识</w:t>
      </w:r>
      <w:r>
        <w:rPr>
          <w:rFonts w:hint="eastAsia"/>
          <w:color w:val="auto"/>
          <w:szCs w:val="21"/>
          <w:highlight w:val="none"/>
        </w:rPr>
        <w:t>。若未提供</w:t>
      </w:r>
      <w:r>
        <w:rPr>
          <w:rFonts w:hint="eastAsia"/>
          <w:color w:val="auto"/>
          <w:szCs w:val="21"/>
          <w:highlight w:val="none"/>
          <w:lang w:val="en-US" w:eastAsia="zh-CN"/>
        </w:rPr>
        <w:t>可</w:t>
      </w:r>
      <w:r>
        <w:rPr>
          <w:rFonts w:hint="eastAsia"/>
          <w:color w:val="auto"/>
          <w:szCs w:val="21"/>
          <w:highlight w:val="none"/>
        </w:rPr>
        <w:t>在“对应的技术支持资料位置指向”项中标明“无”。</w:t>
      </w:r>
    </w:p>
    <w:p w14:paraId="1515781D">
      <w:pPr>
        <w:spacing w:line="360" w:lineRule="auto"/>
        <w:jc w:val="center"/>
        <w:rPr>
          <w:rFonts w:ascii="黑体" w:hAnsi="Arial" w:eastAsia="黑体"/>
          <w:b/>
          <w:color w:val="auto"/>
          <w:sz w:val="36"/>
          <w:highlight w:val="none"/>
        </w:rPr>
      </w:pPr>
    </w:p>
    <w:p w14:paraId="0956651F">
      <w:pPr>
        <w:spacing w:line="360" w:lineRule="auto"/>
        <w:rPr>
          <w:rFonts w:ascii="黑体" w:hAnsi="Arial" w:eastAsia="黑体"/>
          <w:color w:val="auto"/>
          <w:sz w:val="32"/>
          <w:highlight w:val="none"/>
        </w:rPr>
      </w:pPr>
    </w:p>
    <w:p w14:paraId="29E3E710">
      <w:pPr>
        <w:spacing w:line="360" w:lineRule="auto"/>
        <w:rPr>
          <w:rFonts w:ascii="黑体" w:hAnsi="Arial" w:eastAsia="黑体"/>
          <w:color w:val="auto"/>
          <w:sz w:val="32"/>
          <w:highlight w:val="none"/>
        </w:rPr>
      </w:pPr>
    </w:p>
    <w:p w14:paraId="19871DF8">
      <w:pPr>
        <w:rPr>
          <w:rFonts w:ascii="宋体" w:hAnsi="宋体" w:eastAsia="宋体"/>
          <w:color w:val="auto"/>
          <w:sz w:val="32"/>
          <w:szCs w:val="32"/>
          <w:highlight w:val="none"/>
        </w:rPr>
      </w:pPr>
      <w:r>
        <w:rPr>
          <w:rFonts w:hint="eastAsia" w:ascii="宋体" w:hAnsi="宋体" w:eastAsia="宋体"/>
          <w:color w:val="auto"/>
          <w:sz w:val="32"/>
          <w:highlight w:val="none"/>
        </w:rPr>
        <w:br w:type="page" w:clear="all"/>
      </w:r>
    </w:p>
    <w:p w14:paraId="49C102EA">
      <w:pPr>
        <w:pStyle w:val="194"/>
        <w:spacing w:line="360" w:lineRule="auto"/>
        <w:rPr>
          <w:rFonts w:hint="eastAsia" w:ascii="宋体" w:hAnsi="宋体" w:eastAsia="宋体"/>
          <w:color w:val="auto"/>
          <w:sz w:val="32"/>
          <w:szCs w:val="32"/>
          <w:highlight w:val="none"/>
        </w:rPr>
      </w:pPr>
      <w:bookmarkStart w:id="76" w:name="_Hlt26955054"/>
      <w:bookmarkEnd w:id="76"/>
      <w:bookmarkStart w:id="77" w:name="_Toc4088"/>
      <w:r>
        <w:rPr>
          <w:rFonts w:hint="eastAsia" w:ascii="宋体" w:hAnsi="宋体" w:eastAsia="宋体"/>
          <w:color w:val="auto"/>
          <w:sz w:val="32"/>
          <w:highlight w:val="none"/>
        </w:rPr>
        <w:t>七、商务条款响应及偏离表</w:t>
      </w:r>
      <w:bookmarkEnd w:id="77"/>
    </w:p>
    <w:tbl>
      <w:tblPr>
        <w:tblStyle w:val="38"/>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38"/>
        <w:gridCol w:w="2502"/>
        <w:gridCol w:w="1837"/>
        <w:gridCol w:w="2614"/>
      </w:tblGrid>
      <w:tr w14:paraId="6E9746A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92F1C3F">
            <w:pPr>
              <w:spacing w:before="156" w:line="360" w:lineRule="auto"/>
              <w:jc w:val="center"/>
              <w:rPr>
                <w:rFonts w:ascii="仿宋_GB2312" w:hAnsi="宋体" w:eastAsia="仿宋_GB2312"/>
                <w:color w:val="auto"/>
                <w:szCs w:val="21"/>
                <w:highlight w:val="none"/>
              </w:rPr>
            </w:pPr>
            <w:bookmarkStart w:id="78" w:name="_Hlt26671372"/>
            <w:bookmarkEnd w:id="78"/>
            <w:bookmarkStart w:id="79" w:name="_Hlt26609391"/>
            <w:bookmarkEnd w:id="79"/>
            <w:bookmarkStart w:id="80" w:name="_Hlt26580838"/>
            <w:bookmarkEnd w:id="80"/>
            <w:bookmarkStart w:id="81" w:name="_Hlt26955064"/>
            <w:bookmarkEnd w:id="81"/>
            <w:bookmarkStart w:id="82" w:name="_Hlt26671343"/>
            <w:bookmarkEnd w:id="82"/>
            <w:bookmarkStart w:id="83" w:name="_Hlt24879081"/>
            <w:bookmarkEnd w:id="83"/>
            <w:bookmarkStart w:id="84" w:name="_Hlt26955056"/>
            <w:bookmarkEnd w:id="84"/>
            <w:bookmarkStart w:id="85" w:name="_Hlt26782999"/>
            <w:bookmarkEnd w:id="85"/>
            <w:r>
              <w:rPr>
                <w:rFonts w:hint="eastAsia" w:ascii="仿宋_GB2312" w:hAnsi="宋体"/>
                <w:color w:val="auto"/>
                <w:szCs w:val="21"/>
                <w:highlight w:val="none"/>
              </w:rPr>
              <w:t>项目</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59EEE2D5">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采购文件要求</w:t>
            </w: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0AA9EC4B">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投标人的承诺或说明</w:t>
            </w: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AEAEEC5">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是否响应</w:t>
            </w:r>
          </w:p>
        </w:tc>
      </w:tr>
      <w:tr w14:paraId="4370FAC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9"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12A57387">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0649D9FE">
            <w:pPr>
              <w:spacing w:before="156" w:line="360" w:lineRule="auto"/>
              <w:jc w:val="center"/>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673ED3E9">
            <w:pPr>
              <w:spacing w:before="156" w:line="360" w:lineRule="auto"/>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1083652">
            <w:pPr>
              <w:spacing w:before="156" w:line="360" w:lineRule="auto"/>
              <w:jc w:val="center"/>
              <w:rPr>
                <w:rFonts w:ascii="仿宋_GB2312" w:hAnsi="宋体" w:eastAsia="仿宋_GB2312"/>
                <w:color w:val="auto"/>
                <w:szCs w:val="21"/>
                <w:highlight w:val="none"/>
              </w:rPr>
            </w:pPr>
          </w:p>
        </w:tc>
      </w:tr>
      <w:tr w14:paraId="3CED49E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19"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52176254">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AC68B0E">
            <w:pPr>
              <w:spacing w:before="156" w:line="360" w:lineRule="auto"/>
              <w:jc w:val="center"/>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03A5EFFB">
            <w:pPr>
              <w:spacing w:before="156" w:line="360" w:lineRule="auto"/>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18A271BA">
            <w:pPr>
              <w:spacing w:before="156" w:line="360" w:lineRule="auto"/>
              <w:jc w:val="center"/>
              <w:rPr>
                <w:rFonts w:ascii="仿宋_GB2312" w:hAnsi="宋体" w:eastAsia="仿宋_GB2312"/>
                <w:color w:val="auto"/>
                <w:szCs w:val="21"/>
                <w:highlight w:val="none"/>
              </w:rPr>
            </w:pPr>
          </w:p>
        </w:tc>
      </w:tr>
      <w:tr w14:paraId="42716FA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2F0A394">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10438FAC">
            <w:pPr>
              <w:spacing w:before="156" w:line="360" w:lineRule="auto"/>
              <w:jc w:val="center"/>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6A3036F3">
            <w:pPr>
              <w:spacing w:before="156" w:line="360" w:lineRule="auto"/>
              <w:ind w:left="43"/>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5322A5CA">
            <w:pPr>
              <w:spacing w:before="156" w:line="360" w:lineRule="auto"/>
              <w:ind w:left="43"/>
              <w:jc w:val="center"/>
              <w:rPr>
                <w:rFonts w:ascii="仿宋_GB2312" w:hAnsi="宋体" w:eastAsia="仿宋_GB2312"/>
                <w:color w:val="auto"/>
                <w:szCs w:val="21"/>
                <w:highlight w:val="none"/>
              </w:rPr>
            </w:pPr>
          </w:p>
        </w:tc>
      </w:tr>
      <w:tr w14:paraId="0BECE75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09A73B58">
            <w:pPr>
              <w:spacing w:before="156" w:line="360" w:lineRule="auto"/>
              <w:jc w:val="center"/>
              <w:rPr>
                <w:rFonts w:ascii="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048F785A">
            <w:pPr>
              <w:spacing w:before="156" w:line="360" w:lineRule="auto"/>
              <w:rPr>
                <w:rFonts w:ascii="仿宋_GB2312" w:hAnsi="宋体"/>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42E50232">
            <w:pPr>
              <w:spacing w:before="156" w:line="360" w:lineRule="auto"/>
              <w:ind w:left="43"/>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49E590DB">
            <w:pPr>
              <w:spacing w:before="156" w:line="360" w:lineRule="auto"/>
              <w:ind w:left="43"/>
              <w:jc w:val="center"/>
              <w:rPr>
                <w:rFonts w:ascii="仿宋_GB2312" w:hAnsi="宋体" w:eastAsia="仿宋_GB2312"/>
                <w:color w:val="auto"/>
                <w:szCs w:val="21"/>
                <w:highlight w:val="none"/>
              </w:rPr>
            </w:pPr>
          </w:p>
        </w:tc>
      </w:tr>
      <w:tr w14:paraId="0AD4696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F1EF0DD">
            <w:pPr>
              <w:spacing w:before="156" w:line="360" w:lineRule="auto"/>
              <w:jc w:val="center"/>
              <w:rPr>
                <w:rFonts w:ascii="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3AC50181">
            <w:pPr>
              <w:spacing w:before="156" w:line="360" w:lineRule="auto"/>
              <w:rPr>
                <w:rFonts w:ascii="仿宋_GB2312" w:hAnsi="宋体"/>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D4D4FB2">
            <w:pPr>
              <w:spacing w:before="156" w:line="360" w:lineRule="auto"/>
              <w:ind w:left="43"/>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268CE4B1">
            <w:pPr>
              <w:spacing w:before="156" w:line="360" w:lineRule="auto"/>
              <w:ind w:left="43"/>
              <w:jc w:val="center"/>
              <w:rPr>
                <w:rFonts w:ascii="仿宋_GB2312" w:hAnsi="宋体" w:eastAsia="仿宋_GB2312"/>
                <w:color w:val="auto"/>
                <w:szCs w:val="21"/>
                <w:highlight w:val="none"/>
              </w:rPr>
            </w:pPr>
          </w:p>
        </w:tc>
      </w:tr>
      <w:tr w14:paraId="5D55992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2BFB62F3">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326CC371">
            <w:pPr>
              <w:spacing w:before="156" w:line="360" w:lineRule="auto"/>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A1E9283">
            <w:pPr>
              <w:spacing w:before="156" w:line="360" w:lineRule="auto"/>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2E0E9DB">
            <w:pPr>
              <w:spacing w:before="156" w:line="360" w:lineRule="auto"/>
              <w:jc w:val="center"/>
              <w:rPr>
                <w:rFonts w:ascii="仿宋_GB2312" w:hAnsi="宋体" w:eastAsia="仿宋_GB2312"/>
                <w:color w:val="auto"/>
                <w:szCs w:val="21"/>
                <w:highlight w:val="none"/>
              </w:rPr>
            </w:pPr>
          </w:p>
        </w:tc>
      </w:tr>
    </w:tbl>
    <w:p w14:paraId="05406012">
      <w:pPr>
        <w:spacing w:line="360" w:lineRule="auto"/>
        <w:ind w:firstLine="480"/>
        <w:rPr>
          <w:rFonts w:hint="eastAsia" w:ascii="宋体" w:hAnsi="宋体"/>
          <w:b/>
          <w:bCs/>
          <w:i w:val="0"/>
          <w:iCs w:val="0"/>
          <w:color w:val="auto"/>
          <w:sz w:val="21"/>
          <w:szCs w:val="21"/>
          <w:highlight w:val="none"/>
          <w:u w:val="none"/>
        </w:rPr>
      </w:pPr>
      <w:r>
        <w:rPr>
          <w:rFonts w:hint="eastAsia" w:ascii="宋体" w:hAnsi="宋体"/>
          <w:b/>
          <w:bCs/>
          <w:i w:val="0"/>
          <w:iCs w:val="0"/>
          <w:color w:val="auto"/>
          <w:sz w:val="21"/>
          <w:szCs w:val="21"/>
          <w:highlight w:val="none"/>
          <w:u w:val="none"/>
        </w:rPr>
        <w:t>注：</w:t>
      </w:r>
    </w:p>
    <w:p w14:paraId="5637B81B">
      <w:pPr>
        <w:spacing w:line="360" w:lineRule="auto"/>
        <w:ind w:firstLine="480"/>
        <w:rPr>
          <w:rFonts w:hint="eastAsia" w:ascii="宋体" w:hAnsi="宋体"/>
          <w:b/>
          <w:bCs/>
          <w:i w:val="0"/>
          <w:iCs w:val="0"/>
          <w:color w:val="auto"/>
          <w:sz w:val="21"/>
          <w:szCs w:val="21"/>
          <w:highlight w:val="none"/>
          <w:u w:val="none"/>
        </w:rPr>
      </w:pPr>
      <w:r>
        <w:rPr>
          <w:rFonts w:hint="eastAsia" w:ascii="宋体" w:hAnsi="宋体"/>
          <w:b/>
          <w:bCs/>
          <w:i w:val="0"/>
          <w:iCs w:val="0"/>
          <w:color w:val="auto"/>
          <w:sz w:val="21"/>
          <w:szCs w:val="21"/>
          <w:highlight w:val="none"/>
          <w:u w:val="none"/>
        </w:rPr>
        <w:t>1. 供应商须根据招标文件第一章、第二章、第三章</w:t>
      </w:r>
      <w:r>
        <w:rPr>
          <w:rFonts w:hint="eastAsia" w:ascii="宋体" w:hAnsi="宋体"/>
          <w:b/>
          <w:bCs/>
          <w:i w:val="0"/>
          <w:iCs w:val="0"/>
          <w:color w:val="auto"/>
          <w:sz w:val="21"/>
          <w:szCs w:val="21"/>
          <w:highlight w:val="none"/>
          <w:u w:val="none"/>
          <w:lang w:eastAsia="zh-CN"/>
        </w:rPr>
        <w:t>、</w:t>
      </w:r>
      <w:r>
        <w:rPr>
          <w:rFonts w:hint="eastAsia" w:ascii="宋体" w:hAnsi="宋体"/>
          <w:b/>
          <w:bCs/>
          <w:i w:val="0"/>
          <w:iCs w:val="0"/>
          <w:color w:val="auto"/>
          <w:sz w:val="21"/>
          <w:szCs w:val="21"/>
          <w:highlight w:val="none"/>
          <w:u w:val="none"/>
          <w:lang w:val="en-US" w:eastAsia="zh-CN"/>
        </w:rPr>
        <w:t>第四章</w:t>
      </w:r>
      <w:r>
        <w:rPr>
          <w:rFonts w:hint="eastAsia" w:ascii="宋体" w:hAnsi="宋体"/>
          <w:b/>
          <w:bCs/>
          <w:i w:val="0"/>
          <w:iCs w:val="0"/>
          <w:color w:val="auto"/>
          <w:sz w:val="21"/>
          <w:szCs w:val="21"/>
          <w:highlight w:val="none"/>
          <w:u w:val="none"/>
        </w:rPr>
        <w:t>要求填写此表，作为投标文件的组成部分。</w:t>
      </w:r>
    </w:p>
    <w:p w14:paraId="671E6DA4">
      <w:pPr>
        <w:spacing w:line="360" w:lineRule="auto"/>
        <w:ind w:firstLine="480"/>
        <w:rPr>
          <w:rFonts w:hint="eastAsia" w:ascii="宋体" w:hAnsi="宋体"/>
          <w:b/>
          <w:bCs/>
          <w:i w:val="0"/>
          <w:iCs w:val="0"/>
          <w:color w:val="auto"/>
          <w:sz w:val="21"/>
          <w:szCs w:val="21"/>
          <w:highlight w:val="none"/>
          <w:u w:val="none"/>
        </w:rPr>
      </w:pPr>
      <w:r>
        <w:rPr>
          <w:rFonts w:hint="eastAsia" w:ascii="宋体" w:hAnsi="宋体"/>
          <w:b/>
          <w:bCs/>
          <w:i w:val="0"/>
          <w:iCs w:val="0"/>
          <w:color w:val="auto"/>
          <w:sz w:val="21"/>
          <w:szCs w:val="21"/>
          <w:highlight w:val="none"/>
          <w:u w:val="none"/>
        </w:rPr>
        <w:t>2. 所有偏离必须在本表中列出，未在本偏离表中列出偏离，将视为供应商已完全接受招标文件要求。如完全无偏离，也无其他说明，可在本表第一行填写“全部无偏离”。</w:t>
      </w:r>
    </w:p>
    <w:p w14:paraId="19B943E2">
      <w:pPr>
        <w:spacing w:line="360" w:lineRule="auto"/>
        <w:ind w:firstLine="480"/>
        <w:rPr>
          <w:rFonts w:hint="eastAsia" w:ascii="宋体" w:hAnsi="宋体"/>
          <w:b/>
          <w:bCs/>
          <w:i w:val="0"/>
          <w:iCs w:val="0"/>
          <w:color w:val="auto"/>
          <w:sz w:val="21"/>
          <w:szCs w:val="21"/>
          <w:highlight w:val="none"/>
          <w:u w:val="none"/>
        </w:rPr>
      </w:pPr>
      <w:r>
        <w:rPr>
          <w:rFonts w:hint="eastAsia" w:ascii="宋体" w:hAnsi="宋体"/>
          <w:b/>
          <w:bCs/>
          <w:i w:val="0"/>
          <w:iCs w:val="0"/>
          <w:color w:val="auto"/>
          <w:sz w:val="21"/>
          <w:szCs w:val="21"/>
          <w:highlight w:val="none"/>
          <w:u w:val="none"/>
        </w:rPr>
        <w:t>3. 偏离包括正、负偏离，正偏离指供应商的响应高于招标文件要求，负偏离指供应商的响应低于招标文件要求。</w:t>
      </w:r>
    </w:p>
    <w:p w14:paraId="7AC3EF1D">
      <w:pPr>
        <w:spacing w:line="360" w:lineRule="auto"/>
        <w:ind w:firstLine="480"/>
        <w:rPr>
          <w:rFonts w:hint="eastAsia" w:ascii="宋体" w:hAnsi="宋体"/>
          <w:b/>
          <w:bCs/>
          <w:i w:val="0"/>
          <w:iCs w:val="0"/>
          <w:color w:val="auto"/>
          <w:sz w:val="21"/>
          <w:szCs w:val="21"/>
          <w:highlight w:val="none"/>
          <w:u w:val="none"/>
        </w:rPr>
      </w:pPr>
      <w:r>
        <w:rPr>
          <w:rFonts w:hint="eastAsia" w:ascii="宋体" w:hAnsi="宋体"/>
          <w:b/>
          <w:bCs/>
          <w:i w:val="0"/>
          <w:iCs w:val="0"/>
          <w:color w:val="auto"/>
          <w:sz w:val="21"/>
          <w:szCs w:val="21"/>
          <w:highlight w:val="none"/>
          <w:u w:val="none"/>
        </w:rPr>
        <w:t>4. 如供应商将此表空白，视为供应商无任何偏离。</w:t>
      </w:r>
    </w:p>
    <w:p w14:paraId="193C1678">
      <w:pPr>
        <w:spacing w:line="360" w:lineRule="auto"/>
        <w:rPr>
          <w:rFonts w:ascii="宋体" w:hAnsi="宋体"/>
          <w:color w:val="auto"/>
          <w:sz w:val="24"/>
          <w:highlight w:val="none"/>
        </w:rPr>
      </w:pPr>
    </w:p>
    <w:p w14:paraId="1B779A2E">
      <w:pPr>
        <w:pStyle w:val="195"/>
        <w:spacing w:line="360" w:lineRule="auto"/>
        <w:ind w:firstLine="480"/>
        <w:rPr>
          <w:rFonts w:ascii="宋体" w:hAnsi="宋体"/>
          <w:color w:val="auto"/>
          <w:sz w:val="24"/>
          <w:highlight w:val="none"/>
        </w:rPr>
      </w:pPr>
      <w:bookmarkStart w:id="86" w:name="_Hlt26955066"/>
      <w:bookmarkEnd w:id="86"/>
      <w:bookmarkStart w:id="87" w:name="_Hlt26671374"/>
      <w:bookmarkEnd w:id="87"/>
      <w:bookmarkStart w:id="88" w:name="_Hlt26609389"/>
      <w:bookmarkEnd w:id="88"/>
      <w:bookmarkStart w:id="89" w:name="_Toc462564146"/>
      <w:r>
        <w:rPr>
          <w:rFonts w:hint="eastAsia" w:ascii="宋体" w:hAnsi="宋体"/>
          <w:color w:val="auto"/>
          <w:sz w:val="24"/>
          <w:highlight w:val="none"/>
        </w:rPr>
        <w:t>.</w:t>
      </w:r>
    </w:p>
    <w:p w14:paraId="5D39DF15">
      <w:pPr>
        <w:pStyle w:val="195"/>
        <w:spacing w:line="360" w:lineRule="auto"/>
        <w:ind w:firstLine="480"/>
        <w:rPr>
          <w:rFonts w:ascii="宋体" w:hAnsi="宋体"/>
          <w:color w:val="auto"/>
          <w:sz w:val="24"/>
          <w:highlight w:val="none"/>
        </w:rPr>
      </w:pPr>
    </w:p>
    <w:p w14:paraId="598CFCB6">
      <w:pPr>
        <w:pStyle w:val="195"/>
        <w:spacing w:line="360" w:lineRule="auto"/>
        <w:ind w:firstLine="480"/>
        <w:rPr>
          <w:rFonts w:ascii="宋体" w:hAnsi="宋体"/>
          <w:color w:val="auto"/>
          <w:sz w:val="24"/>
          <w:highlight w:val="none"/>
        </w:rPr>
      </w:pPr>
    </w:p>
    <w:p w14:paraId="7DFA9DF9">
      <w:pPr>
        <w:pStyle w:val="195"/>
        <w:spacing w:line="360" w:lineRule="auto"/>
        <w:ind w:firstLine="480"/>
        <w:rPr>
          <w:rFonts w:ascii="宋体" w:hAnsi="宋体"/>
          <w:color w:val="auto"/>
          <w:sz w:val="24"/>
          <w:highlight w:val="none"/>
        </w:rPr>
      </w:pPr>
    </w:p>
    <w:p w14:paraId="05E54D10">
      <w:pPr>
        <w:pStyle w:val="195"/>
        <w:spacing w:line="360" w:lineRule="auto"/>
        <w:ind w:firstLine="480"/>
        <w:rPr>
          <w:rFonts w:ascii="宋体" w:hAnsi="宋体"/>
          <w:color w:val="auto"/>
          <w:sz w:val="24"/>
          <w:highlight w:val="none"/>
        </w:rPr>
      </w:pPr>
    </w:p>
    <w:p w14:paraId="33B2BA12">
      <w:pPr>
        <w:pStyle w:val="195"/>
        <w:spacing w:line="360" w:lineRule="auto"/>
        <w:ind w:left="0" w:leftChars="0" w:firstLine="0" w:firstLineChars="0"/>
        <w:rPr>
          <w:rFonts w:ascii="宋体" w:hAnsi="宋体"/>
          <w:color w:val="auto"/>
          <w:sz w:val="24"/>
          <w:highlight w:val="none"/>
        </w:rPr>
      </w:pPr>
    </w:p>
    <w:bookmarkEnd w:id="89"/>
    <w:p w14:paraId="17010A6D">
      <w:pPr>
        <w:rPr>
          <w:rFonts w:hint="eastAsia" w:ascii="宋体" w:hAnsi="宋体"/>
          <w:b/>
          <w:color w:val="auto"/>
          <w:highlight w:val="none"/>
        </w:rPr>
      </w:pPr>
      <w:r>
        <w:rPr>
          <w:rFonts w:hint="eastAsia" w:ascii="宋体" w:hAnsi="宋体"/>
          <w:b/>
          <w:color w:val="auto"/>
          <w:highlight w:val="none"/>
        </w:rPr>
        <w:br w:type="page"/>
      </w:r>
    </w:p>
    <w:p w14:paraId="35E6C9DB">
      <w:pPr>
        <w:spacing w:before="312" w:line="360" w:lineRule="auto"/>
        <w:jc w:val="center"/>
        <w:rPr>
          <w:rFonts w:ascii="宋体" w:hAnsi="宋体"/>
          <w:b/>
          <w:color w:val="auto"/>
          <w:highlight w:val="none"/>
        </w:rPr>
      </w:pPr>
      <w:r>
        <w:rPr>
          <w:rFonts w:hint="eastAsia" w:ascii="宋体" w:hAnsi="宋体"/>
          <w:b/>
          <w:color w:val="auto"/>
          <w:highlight w:val="none"/>
        </w:rPr>
        <w:t>主要标的信息（中标后将公示）</w:t>
      </w:r>
    </w:p>
    <w:p w14:paraId="3693D164">
      <w:pPr>
        <w:spacing w:after="312" w:line="360" w:lineRule="auto"/>
        <w:rPr>
          <w:rFonts w:ascii="宋体" w:hAnsi="宋体"/>
          <w:b/>
          <w:color w:val="auto"/>
          <w:highlight w:val="none"/>
        </w:rPr>
      </w:pPr>
      <w:r>
        <w:rPr>
          <w:rFonts w:hint="eastAsia" w:ascii="宋体" w:hAnsi="宋体"/>
          <w:color w:val="auto"/>
          <w:highlight w:val="none"/>
        </w:rPr>
        <w:t>投标人全称：</w:t>
      </w:r>
    </w:p>
    <w:tbl>
      <w:tblPr>
        <w:tblStyle w:val="38"/>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722E6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3901" w:type="dxa"/>
            <w:noWrap w:val="0"/>
            <w:vAlign w:val="top"/>
          </w:tcPr>
          <w:p w14:paraId="506B0EA6">
            <w:pPr>
              <w:spacing w:line="360" w:lineRule="auto"/>
              <w:jc w:val="center"/>
              <w:rPr>
                <w:rFonts w:ascii="宋体" w:hAnsi="宋体" w:cs="宋体"/>
                <w:color w:val="auto"/>
                <w:highlight w:val="none"/>
              </w:rPr>
            </w:pPr>
            <w:r>
              <w:rPr>
                <w:rFonts w:hint="eastAsia" w:ascii="宋体" w:hAnsi="宋体" w:cs="宋体"/>
                <w:color w:val="auto"/>
                <w:highlight w:val="none"/>
              </w:rPr>
              <w:t>货物类</w:t>
            </w:r>
          </w:p>
        </w:tc>
        <w:tc>
          <w:tcPr>
            <w:tcW w:w="3780" w:type="dxa"/>
            <w:noWrap w:val="0"/>
            <w:vAlign w:val="top"/>
          </w:tcPr>
          <w:p w14:paraId="36189C5A">
            <w:pPr>
              <w:spacing w:line="360" w:lineRule="auto"/>
              <w:jc w:val="center"/>
              <w:rPr>
                <w:rFonts w:ascii="宋体" w:hAnsi="宋体" w:cs="宋体"/>
                <w:color w:val="auto"/>
                <w:highlight w:val="none"/>
              </w:rPr>
            </w:pPr>
            <w:r>
              <w:rPr>
                <w:rFonts w:hint="eastAsia" w:ascii="宋体" w:hAnsi="宋体" w:cs="宋体"/>
                <w:color w:val="auto"/>
                <w:highlight w:val="none"/>
              </w:rPr>
              <w:t>服务类</w:t>
            </w:r>
          </w:p>
        </w:tc>
      </w:tr>
      <w:tr w14:paraId="7ED48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vAlign w:val="top"/>
          </w:tcPr>
          <w:p w14:paraId="60B201FC">
            <w:pPr>
              <w:spacing w:line="360" w:lineRule="auto"/>
              <w:rPr>
                <w:rFonts w:ascii="宋体" w:hAnsi="宋体" w:cs="宋体"/>
                <w:color w:val="auto"/>
                <w:highlight w:val="none"/>
              </w:rPr>
            </w:pPr>
            <w:r>
              <w:rPr>
                <w:rFonts w:hint="eastAsia" w:ascii="宋体" w:hAnsi="宋体" w:cs="宋体"/>
                <w:color w:val="auto"/>
                <w:highlight w:val="none"/>
              </w:rPr>
              <w:t>名称：</w:t>
            </w:r>
          </w:p>
          <w:p w14:paraId="388E484A">
            <w:pPr>
              <w:spacing w:line="360" w:lineRule="auto"/>
              <w:rPr>
                <w:rFonts w:ascii="宋体" w:hAnsi="宋体" w:cs="宋体"/>
                <w:color w:val="auto"/>
                <w:highlight w:val="none"/>
              </w:rPr>
            </w:pPr>
            <w:r>
              <w:rPr>
                <w:rFonts w:hint="eastAsia" w:ascii="宋体" w:hAnsi="宋体" w:cs="宋体"/>
                <w:color w:val="auto"/>
                <w:highlight w:val="none"/>
              </w:rPr>
              <w:t>品牌（如有）：</w:t>
            </w:r>
          </w:p>
          <w:p w14:paraId="42EA13AD">
            <w:pPr>
              <w:spacing w:line="360" w:lineRule="auto"/>
              <w:rPr>
                <w:rFonts w:ascii="宋体" w:hAnsi="宋体" w:cs="宋体"/>
                <w:color w:val="auto"/>
                <w:highlight w:val="none"/>
              </w:rPr>
            </w:pPr>
            <w:r>
              <w:rPr>
                <w:rFonts w:hint="eastAsia" w:ascii="宋体" w:hAnsi="宋体" w:cs="宋体"/>
                <w:color w:val="auto"/>
                <w:highlight w:val="none"/>
              </w:rPr>
              <w:t>规格型号：</w:t>
            </w:r>
          </w:p>
          <w:p w14:paraId="0C5EA395">
            <w:pPr>
              <w:spacing w:line="360" w:lineRule="auto"/>
              <w:rPr>
                <w:rFonts w:ascii="宋体" w:hAnsi="宋体" w:cs="宋体"/>
                <w:color w:val="auto"/>
                <w:highlight w:val="none"/>
              </w:rPr>
            </w:pPr>
            <w:r>
              <w:rPr>
                <w:rFonts w:hint="eastAsia" w:ascii="宋体" w:hAnsi="宋体" w:cs="宋体"/>
                <w:color w:val="auto"/>
                <w:highlight w:val="none"/>
              </w:rPr>
              <w:t>数量：</w:t>
            </w:r>
          </w:p>
          <w:p w14:paraId="4DD53956">
            <w:pPr>
              <w:spacing w:line="360" w:lineRule="auto"/>
              <w:rPr>
                <w:rFonts w:ascii="宋体" w:hAnsi="宋体" w:cs="宋体"/>
                <w:color w:val="auto"/>
                <w:highlight w:val="none"/>
              </w:rPr>
            </w:pPr>
            <w:r>
              <w:rPr>
                <w:rFonts w:hint="eastAsia" w:ascii="宋体" w:hAnsi="宋体" w:cs="宋体"/>
                <w:color w:val="auto"/>
                <w:highlight w:val="none"/>
              </w:rPr>
              <w:t>单价：</w:t>
            </w:r>
          </w:p>
        </w:tc>
        <w:tc>
          <w:tcPr>
            <w:tcW w:w="3780" w:type="dxa"/>
            <w:noWrap w:val="0"/>
            <w:vAlign w:val="top"/>
          </w:tcPr>
          <w:p w14:paraId="5DDA68A7">
            <w:pPr>
              <w:spacing w:line="360" w:lineRule="auto"/>
              <w:rPr>
                <w:rFonts w:ascii="宋体" w:hAnsi="宋体" w:cs="宋体"/>
                <w:color w:val="auto"/>
                <w:highlight w:val="none"/>
              </w:rPr>
            </w:pPr>
            <w:r>
              <w:rPr>
                <w:rFonts w:hint="eastAsia" w:ascii="宋体" w:hAnsi="宋体" w:cs="宋体"/>
                <w:color w:val="auto"/>
                <w:highlight w:val="none"/>
              </w:rPr>
              <w:t>名称：</w:t>
            </w:r>
          </w:p>
          <w:p w14:paraId="7C3FFF5C">
            <w:pPr>
              <w:spacing w:line="360" w:lineRule="auto"/>
              <w:rPr>
                <w:rFonts w:ascii="宋体" w:hAnsi="宋体" w:cs="宋体"/>
                <w:color w:val="auto"/>
                <w:highlight w:val="none"/>
              </w:rPr>
            </w:pPr>
            <w:r>
              <w:rPr>
                <w:rFonts w:hint="eastAsia" w:ascii="宋体" w:hAnsi="宋体" w:cs="宋体"/>
                <w:color w:val="auto"/>
                <w:highlight w:val="none"/>
              </w:rPr>
              <w:t>服务范围：</w:t>
            </w:r>
          </w:p>
          <w:p w14:paraId="344AF803">
            <w:pPr>
              <w:spacing w:line="360" w:lineRule="auto"/>
              <w:rPr>
                <w:rFonts w:ascii="宋体" w:hAnsi="宋体" w:cs="宋体"/>
                <w:color w:val="auto"/>
                <w:highlight w:val="none"/>
                <w:u w:val="single"/>
              </w:rPr>
            </w:pPr>
            <w:r>
              <w:rPr>
                <w:rFonts w:hint="eastAsia" w:ascii="宋体" w:hAnsi="宋体" w:cs="宋体"/>
                <w:color w:val="auto"/>
                <w:highlight w:val="none"/>
              </w:rPr>
              <w:t>服务要求：</w:t>
            </w:r>
          </w:p>
          <w:p w14:paraId="5C362945">
            <w:pPr>
              <w:spacing w:line="360" w:lineRule="auto"/>
              <w:rPr>
                <w:rFonts w:ascii="宋体" w:hAnsi="宋体" w:cs="宋体"/>
                <w:color w:val="auto"/>
                <w:highlight w:val="none"/>
                <w:u w:val="single"/>
              </w:rPr>
            </w:pPr>
            <w:r>
              <w:rPr>
                <w:rFonts w:hint="eastAsia" w:ascii="宋体" w:hAnsi="宋体" w:cs="宋体"/>
                <w:color w:val="auto"/>
                <w:highlight w:val="none"/>
              </w:rPr>
              <w:t>服务时间：</w:t>
            </w:r>
          </w:p>
          <w:p w14:paraId="07B9E0A6">
            <w:pPr>
              <w:spacing w:line="360" w:lineRule="auto"/>
              <w:rPr>
                <w:rFonts w:ascii="宋体" w:hAnsi="宋体" w:cs="宋体"/>
                <w:color w:val="auto"/>
                <w:highlight w:val="none"/>
              </w:rPr>
            </w:pPr>
            <w:r>
              <w:rPr>
                <w:rFonts w:hint="eastAsia" w:ascii="宋体" w:hAnsi="宋体" w:cs="宋体"/>
                <w:color w:val="auto"/>
                <w:highlight w:val="none"/>
              </w:rPr>
              <w:t>服务标准：</w:t>
            </w:r>
          </w:p>
        </w:tc>
      </w:tr>
    </w:tbl>
    <w:p w14:paraId="510038C1">
      <w:pPr>
        <w:widowControl/>
        <w:spacing w:line="360" w:lineRule="auto"/>
        <w:jc w:val="center"/>
        <w:rPr>
          <w:rFonts w:ascii="宋体" w:hAnsi="宋体"/>
          <w:b/>
          <w:color w:val="auto"/>
          <w:highlight w:val="none"/>
        </w:rPr>
      </w:pPr>
      <w:r>
        <w:rPr>
          <w:rFonts w:ascii="宋体" w:hAnsi="宋体" w:cs="宋体"/>
          <w:color w:val="auto"/>
          <w:sz w:val="24"/>
          <w:szCs w:val="24"/>
          <w:highlight w:val="none"/>
        </w:rPr>
        <w:br w:type="page" w:clear="all"/>
      </w:r>
      <w:r>
        <w:rPr>
          <w:rFonts w:hint="eastAsia" w:ascii="宋体" w:hAnsi="宋体"/>
          <w:b/>
          <w:color w:val="auto"/>
          <w:highlight w:val="none"/>
        </w:rPr>
        <w:t>联合体协议（如有）</w:t>
      </w:r>
    </w:p>
    <w:p w14:paraId="7E4A14AB">
      <w:pPr>
        <w:spacing w:line="360" w:lineRule="auto"/>
        <w:ind w:firstLine="211"/>
        <w:jc w:val="center"/>
        <w:rPr>
          <w:rFonts w:ascii="宋体" w:hAnsi="宋体"/>
          <w:b/>
          <w:color w:val="auto"/>
          <w:highlight w:val="none"/>
        </w:rPr>
      </w:pPr>
    </w:p>
    <w:p w14:paraId="14ABCC32">
      <w:pPr>
        <w:spacing w:line="360" w:lineRule="auto"/>
        <w:rPr>
          <w:rFonts w:ascii="宋体" w:hAnsi="宋体"/>
          <w:color w:val="auto"/>
          <w:highlight w:val="none"/>
        </w:rPr>
      </w:pPr>
      <w:r>
        <w:rPr>
          <w:rFonts w:hint="eastAsia" w:ascii="宋体" w:hAnsi="宋体"/>
          <w:color w:val="auto"/>
          <w:highlight w:val="none"/>
        </w:rPr>
        <w:t>（联合体中各投标人全称）在此达成以下协议：</w:t>
      </w:r>
    </w:p>
    <w:p w14:paraId="3F1115AC">
      <w:pPr>
        <w:spacing w:line="360" w:lineRule="auto"/>
        <w:ind w:firstLine="645"/>
        <w:rPr>
          <w:rFonts w:ascii="宋体" w:hAnsi="宋体"/>
          <w:color w:val="auto"/>
          <w:highlight w:val="none"/>
        </w:rPr>
      </w:pPr>
      <w:r>
        <w:rPr>
          <w:rFonts w:hint="eastAsia" w:ascii="宋体" w:hAnsi="宋体"/>
          <w:color w:val="auto"/>
          <w:highlight w:val="none"/>
        </w:rPr>
        <w:t>1、我们自愿组成联合体，参加代理机构组织的采购编号为（项目编号）（项目全称）的政府采购活动。</w:t>
      </w:r>
    </w:p>
    <w:p w14:paraId="6E1D1DAF">
      <w:pPr>
        <w:spacing w:line="360" w:lineRule="auto"/>
        <w:ind w:firstLine="645"/>
        <w:rPr>
          <w:rFonts w:ascii="宋体" w:hAnsi="宋体"/>
          <w:color w:val="auto"/>
          <w:highlight w:val="none"/>
        </w:rPr>
      </w:pPr>
      <w:r>
        <w:rPr>
          <w:rFonts w:hint="eastAsia" w:ascii="宋体" w:hAnsi="宋体"/>
          <w:color w:val="auto"/>
          <w:highlight w:val="none"/>
        </w:rPr>
        <w:t>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p>
    <w:p w14:paraId="6592297B">
      <w:pPr>
        <w:spacing w:line="360" w:lineRule="auto"/>
        <w:ind w:firstLine="645"/>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p>
    <w:p w14:paraId="4C3EE28F">
      <w:pPr>
        <w:spacing w:line="360" w:lineRule="auto"/>
        <w:ind w:firstLine="4620"/>
        <w:rPr>
          <w:rFonts w:ascii="宋体" w:hAnsi="宋体"/>
          <w:color w:val="auto"/>
          <w:highlight w:val="none"/>
        </w:rPr>
      </w:pPr>
      <w:r>
        <w:rPr>
          <w:rFonts w:hint="eastAsia" w:ascii="宋体" w:hAnsi="宋体"/>
          <w:color w:val="auto"/>
          <w:highlight w:val="none"/>
        </w:rPr>
        <w:t>所有投标人全称：</w:t>
      </w:r>
    </w:p>
    <w:p w14:paraId="3D1AAF41">
      <w:pPr>
        <w:spacing w:line="360" w:lineRule="auto"/>
        <w:ind w:firstLine="645"/>
        <w:rPr>
          <w:rFonts w:ascii="宋体" w:hAnsi="宋体"/>
          <w:color w:val="auto"/>
          <w:highlight w:val="none"/>
        </w:rPr>
      </w:pPr>
      <w:r>
        <w:rPr>
          <w:rFonts w:hint="eastAsia" w:ascii="宋体" w:hAnsi="宋体"/>
          <w:color w:val="auto"/>
          <w:highlight w:val="none"/>
        </w:rPr>
        <w:t xml:space="preserve">                                      法定代表人：  </w:t>
      </w:r>
    </w:p>
    <w:p w14:paraId="1F4A683C">
      <w:pPr>
        <w:spacing w:line="360" w:lineRule="auto"/>
        <w:ind w:firstLine="4620"/>
        <w:rPr>
          <w:rFonts w:ascii="宋体" w:hAnsi="宋体"/>
          <w:color w:val="auto"/>
          <w:highlight w:val="none"/>
        </w:rPr>
      </w:pPr>
      <w:r>
        <w:rPr>
          <w:rFonts w:hint="eastAsia" w:ascii="宋体" w:hAnsi="宋体"/>
          <w:color w:val="auto"/>
          <w:highlight w:val="none"/>
        </w:rPr>
        <w:t>日期：</w:t>
      </w:r>
    </w:p>
    <w:p w14:paraId="0EF53B66">
      <w:pPr>
        <w:spacing w:line="360" w:lineRule="auto"/>
        <w:rPr>
          <w:color w:val="auto"/>
          <w:highlight w:val="none"/>
        </w:rPr>
      </w:pPr>
    </w:p>
    <w:p w14:paraId="0328A753">
      <w:pPr>
        <w:spacing w:line="360" w:lineRule="auto"/>
        <w:rPr>
          <w:color w:val="auto"/>
          <w:highlight w:val="none"/>
        </w:rPr>
      </w:pPr>
    </w:p>
    <w:p w14:paraId="14B8EDF5">
      <w:pPr>
        <w:spacing w:line="360" w:lineRule="auto"/>
        <w:rPr>
          <w:color w:val="auto"/>
          <w:highlight w:val="none"/>
        </w:rPr>
      </w:pPr>
    </w:p>
    <w:sectPr>
      <w:headerReference r:id="rId7" w:type="default"/>
      <w:pgSz w:w="11906" w:h="16838"/>
      <w:pgMar w:top="1440" w:right="1486" w:bottom="1440" w:left="118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New Tai Lue">
    <w:panose1 w:val="020B0502040204020203"/>
    <w:charset w:val="00"/>
    <w:family w:val="swiss"/>
    <w:pitch w:val="default"/>
    <w:sig w:usb0="00000003" w:usb1="00000000" w:usb2="80000000" w:usb3="00000000" w:csb0="00000001" w:csb1="00000000"/>
  </w:font>
  <w:font w:name="幼圆">
    <w:panose1 w:val="0201050906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Narrow">
    <w:panose1 w:val="020B0606020202030204"/>
    <w:charset w:val="00"/>
    <w:family w:val="swiss"/>
    <w:pitch w:val="default"/>
    <w:sig w:usb0="00000287" w:usb1="00000800" w:usb2="00000000" w:usb3="00000000" w:csb0="2000009F" w:csb1="DFD7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BC3D0">
    <w:pPr>
      <w:pStyle w:val="25"/>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CD1F6">
    <w:pPr>
      <w:pStyle w:val="20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E7523B">
                          <w:pPr>
                            <w:pStyle w:val="206"/>
                            <w:jc w:val="center"/>
                          </w:pPr>
                          <w:r>
                            <w:fldChar w:fldCharType="begin"/>
                          </w:r>
                          <w:r>
                            <w:instrText xml:space="preserve">PAGE   \* MERGEFORMAT</w:instrText>
                          </w:r>
                          <w:r>
                            <w:fldChar w:fldCharType="separate"/>
                          </w:r>
                          <w:r>
                            <w:rPr>
                              <w:lang w:val="zh-CN"/>
                            </w:rPr>
                            <w:t>6</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CE7523B">
                    <w:pPr>
                      <w:pStyle w:val="206"/>
                      <w:jc w:val="center"/>
                    </w:pPr>
                    <w:r>
                      <w:fldChar w:fldCharType="begin"/>
                    </w:r>
                    <w:r>
                      <w:instrText xml:space="preserve">PAGE   \* MERGEFORMAT</w:instrText>
                    </w:r>
                    <w:r>
                      <w:fldChar w:fldCharType="separate"/>
                    </w:r>
                    <w:r>
                      <w:rPr>
                        <w:lang w:val="zh-CN"/>
                      </w:rPr>
                      <w:t>6</w:t>
                    </w:r>
                    <w:r>
                      <w:rPr>
                        <w:lang w:val="zh-CN"/>
                      </w:rPr>
                      <w:fldChar w:fldCharType="end"/>
                    </w:r>
                  </w:p>
                </w:txbxContent>
              </v:textbox>
            </v:shape>
          </w:pict>
        </mc:Fallback>
      </mc:AlternateContent>
    </w:r>
  </w:p>
  <w:p w14:paraId="4D91ABF0">
    <w:pPr>
      <w:pStyle w:val="20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15E3">
    <w:pPr>
      <w:spacing w:line="46"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8D9C2">
    <w:pPr>
      <w:pStyle w:val="26"/>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0B5C1">
    <w:pPr>
      <w:pStyle w:val="26"/>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3B1D73E"/>
    <w:multiLevelType w:val="singleLevel"/>
    <w:tmpl w:val="13B1D73E"/>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105"/>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B0D73"/>
    <w:rsid w:val="009031F3"/>
    <w:rsid w:val="00A62EDE"/>
    <w:rsid w:val="00F036C9"/>
    <w:rsid w:val="01394BD1"/>
    <w:rsid w:val="01910A08"/>
    <w:rsid w:val="01DF713D"/>
    <w:rsid w:val="01F42D45"/>
    <w:rsid w:val="029A1B3E"/>
    <w:rsid w:val="03032FBE"/>
    <w:rsid w:val="033E696D"/>
    <w:rsid w:val="03A676C0"/>
    <w:rsid w:val="03BC7892"/>
    <w:rsid w:val="03C52BEB"/>
    <w:rsid w:val="03E94B2B"/>
    <w:rsid w:val="04544994"/>
    <w:rsid w:val="04651CD8"/>
    <w:rsid w:val="04BF4664"/>
    <w:rsid w:val="04F4393A"/>
    <w:rsid w:val="05616943"/>
    <w:rsid w:val="05A561AD"/>
    <w:rsid w:val="05C0567F"/>
    <w:rsid w:val="06481480"/>
    <w:rsid w:val="06611386"/>
    <w:rsid w:val="066D141A"/>
    <w:rsid w:val="06824DC3"/>
    <w:rsid w:val="06B331CE"/>
    <w:rsid w:val="06BA6B91"/>
    <w:rsid w:val="06EE508B"/>
    <w:rsid w:val="070C79A9"/>
    <w:rsid w:val="076A5F83"/>
    <w:rsid w:val="07A1396F"/>
    <w:rsid w:val="07F67816"/>
    <w:rsid w:val="080D690E"/>
    <w:rsid w:val="0842480A"/>
    <w:rsid w:val="087C3485"/>
    <w:rsid w:val="089D7C92"/>
    <w:rsid w:val="0925770E"/>
    <w:rsid w:val="09331ABF"/>
    <w:rsid w:val="09387BC9"/>
    <w:rsid w:val="0946032A"/>
    <w:rsid w:val="09DC47EA"/>
    <w:rsid w:val="09E35FBD"/>
    <w:rsid w:val="09F03859"/>
    <w:rsid w:val="09F60F31"/>
    <w:rsid w:val="0A2166A1"/>
    <w:rsid w:val="0A455A91"/>
    <w:rsid w:val="0AAC3620"/>
    <w:rsid w:val="0AC21C32"/>
    <w:rsid w:val="0AEA65E8"/>
    <w:rsid w:val="0B186F04"/>
    <w:rsid w:val="0B4A5F89"/>
    <w:rsid w:val="0B534F80"/>
    <w:rsid w:val="0C1110C3"/>
    <w:rsid w:val="0C386378"/>
    <w:rsid w:val="0C9975DD"/>
    <w:rsid w:val="0C9F61E6"/>
    <w:rsid w:val="0D183D8B"/>
    <w:rsid w:val="0D205DEA"/>
    <w:rsid w:val="0D215336"/>
    <w:rsid w:val="0D6B4A79"/>
    <w:rsid w:val="0D75742F"/>
    <w:rsid w:val="0D8458C4"/>
    <w:rsid w:val="0D9F3011"/>
    <w:rsid w:val="0DFF26A9"/>
    <w:rsid w:val="0EBC7AA9"/>
    <w:rsid w:val="0EC85224"/>
    <w:rsid w:val="0EF820C6"/>
    <w:rsid w:val="0EF95E3E"/>
    <w:rsid w:val="0F117552"/>
    <w:rsid w:val="0F7C6E10"/>
    <w:rsid w:val="0F956847"/>
    <w:rsid w:val="0FF420EE"/>
    <w:rsid w:val="0FFC35D9"/>
    <w:rsid w:val="10377443"/>
    <w:rsid w:val="106F2403"/>
    <w:rsid w:val="10726B00"/>
    <w:rsid w:val="10782A5C"/>
    <w:rsid w:val="109B47C8"/>
    <w:rsid w:val="10BD632E"/>
    <w:rsid w:val="115A7068"/>
    <w:rsid w:val="11695CA6"/>
    <w:rsid w:val="11AE0883"/>
    <w:rsid w:val="11BD6804"/>
    <w:rsid w:val="122D02D9"/>
    <w:rsid w:val="12374163"/>
    <w:rsid w:val="12823D4A"/>
    <w:rsid w:val="128B4FFF"/>
    <w:rsid w:val="12D6271E"/>
    <w:rsid w:val="12DB7D35"/>
    <w:rsid w:val="135950FD"/>
    <w:rsid w:val="13CF5E6A"/>
    <w:rsid w:val="13FC61B5"/>
    <w:rsid w:val="142B4CEC"/>
    <w:rsid w:val="14305E5E"/>
    <w:rsid w:val="145F6743"/>
    <w:rsid w:val="146E5017"/>
    <w:rsid w:val="150D2743"/>
    <w:rsid w:val="15233C15"/>
    <w:rsid w:val="15C22E6B"/>
    <w:rsid w:val="164B6F7F"/>
    <w:rsid w:val="165B4256"/>
    <w:rsid w:val="165F2A2B"/>
    <w:rsid w:val="16C678A1"/>
    <w:rsid w:val="17025D96"/>
    <w:rsid w:val="175207E1"/>
    <w:rsid w:val="183869EB"/>
    <w:rsid w:val="1844012A"/>
    <w:rsid w:val="187F1162"/>
    <w:rsid w:val="18B54B84"/>
    <w:rsid w:val="18F328C9"/>
    <w:rsid w:val="19C159DC"/>
    <w:rsid w:val="19F55BA5"/>
    <w:rsid w:val="19F67CCD"/>
    <w:rsid w:val="1A0E6C42"/>
    <w:rsid w:val="1A1951D3"/>
    <w:rsid w:val="1A8707A2"/>
    <w:rsid w:val="1A9223BA"/>
    <w:rsid w:val="1AA02767"/>
    <w:rsid w:val="1AD80FFE"/>
    <w:rsid w:val="1B001867"/>
    <w:rsid w:val="1B0D0CA7"/>
    <w:rsid w:val="1B0E451B"/>
    <w:rsid w:val="1BAE5697"/>
    <w:rsid w:val="1BB76E65"/>
    <w:rsid w:val="1BBB0703"/>
    <w:rsid w:val="1BCA30B9"/>
    <w:rsid w:val="1C217D49"/>
    <w:rsid w:val="1C387FA6"/>
    <w:rsid w:val="1C7276E6"/>
    <w:rsid w:val="1CBB28BB"/>
    <w:rsid w:val="1D521F1C"/>
    <w:rsid w:val="1DA13929"/>
    <w:rsid w:val="1E0C793C"/>
    <w:rsid w:val="1E8C282B"/>
    <w:rsid w:val="1E9D2342"/>
    <w:rsid w:val="1ECC2C27"/>
    <w:rsid w:val="1EE25969"/>
    <w:rsid w:val="1EE610FD"/>
    <w:rsid w:val="1F0B19A2"/>
    <w:rsid w:val="1F0B7BF4"/>
    <w:rsid w:val="1F6B0692"/>
    <w:rsid w:val="1F7F7C9A"/>
    <w:rsid w:val="1F802E8E"/>
    <w:rsid w:val="1F893048"/>
    <w:rsid w:val="1FEB3581"/>
    <w:rsid w:val="20280331"/>
    <w:rsid w:val="20A43E5C"/>
    <w:rsid w:val="20AF45AF"/>
    <w:rsid w:val="211F1DE5"/>
    <w:rsid w:val="213B4094"/>
    <w:rsid w:val="21461012"/>
    <w:rsid w:val="21486EDD"/>
    <w:rsid w:val="21881CE4"/>
    <w:rsid w:val="219072C7"/>
    <w:rsid w:val="21C35D68"/>
    <w:rsid w:val="21ED1832"/>
    <w:rsid w:val="21FB075E"/>
    <w:rsid w:val="2228557D"/>
    <w:rsid w:val="22765384"/>
    <w:rsid w:val="22F8048F"/>
    <w:rsid w:val="230B3A9D"/>
    <w:rsid w:val="234F5BD5"/>
    <w:rsid w:val="236319BF"/>
    <w:rsid w:val="23B96810"/>
    <w:rsid w:val="23F6259E"/>
    <w:rsid w:val="23F724F4"/>
    <w:rsid w:val="23FA2DFB"/>
    <w:rsid w:val="24284DA4"/>
    <w:rsid w:val="242B03F0"/>
    <w:rsid w:val="248E553A"/>
    <w:rsid w:val="24BB1774"/>
    <w:rsid w:val="24CD23CA"/>
    <w:rsid w:val="25853B30"/>
    <w:rsid w:val="25FD7B6A"/>
    <w:rsid w:val="26211AAB"/>
    <w:rsid w:val="264B4CE9"/>
    <w:rsid w:val="2653066B"/>
    <w:rsid w:val="2670658E"/>
    <w:rsid w:val="268F110A"/>
    <w:rsid w:val="26993FF3"/>
    <w:rsid w:val="26CC7C68"/>
    <w:rsid w:val="26DE5BEE"/>
    <w:rsid w:val="270D69D9"/>
    <w:rsid w:val="27494C78"/>
    <w:rsid w:val="276A122F"/>
    <w:rsid w:val="27822AAA"/>
    <w:rsid w:val="27BF157B"/>
    <w:rsid w:val="2858552C"/>
    <w:rsid w:val="286D547B"/>
    <w:rsid w:val="28720201"/>
    <w:rsid w:val="289447B6"/>
    <w:rsid w:val="28A41B1F"/>
    <w:rsid w:val="28B07116"/>
    <w:rsid w:val="28FC05AD"/>
    <w:rsid w:val="29A0362E"/>
    <w:rsid w:val="29C9048F"/>
    <w:rsid w:val="2A3D1EA3"/>
    <w:rsid w:val="2A720B27"/>
    <w:rsid w:val="2AAF18B0"/>
    <w:rsid w:val="2B12230A"/>
    <w:rsid w:val="2B9F687E"/>
    <w:rsid w:val="2BAC2170"/>
    <w:rsid w:val="2BB94533"/>
    <w:rsid w:val="2BCC070B"/>
    <w:rsid w:val="2BED2084"/>
    <w:rsid w:val="2C2E0A7D"/>
    <w:rsid w:val="2C482942"/>
    <w:rsid w:val="2CC97DA0"/>
    <w:rsid w:val="2CFA3055"/>
    <w:rsid w:val="2D00199F"/>
    <w:rsid w:val="2D0619FA"/>
    <w:rsid w:val="2D0A14EA"/>
    <w:rsid w:val="2D2C32D2"/>
    <w:rsid w:val="2D6F134E"/>
    <w:rsid w:val="2D914CA0"/>
    <w:rsid w:val="2DD815E9"/>
    <w:rsid w:val="2DE41CA7"/>
    <w:rsid w:val="2DE75388"/>
    <w:rsid w:val="2DF169AB"/>
    <w:rsid w:val="2E30107F"/>
    <w:rsid w:val="2E497DF1"/>
    <w:rsid w:val="2EE14B44"/>
    <w:rsid w:val="2EF10702"/>
    <w:rsid w:val="2EF44200"/>
    <w:rsid w:val="2F6D14BB"/>
    <w:rsid w:val="2F9E416C"/>
    <w:rsid w:val="30087837"/>
    <w:rsid w:val="300F6E18"/>
    <w:rsid w:val="303845C1"/>
    <w:rsid w:val="30694209"/>
    <w:rsid w:val="30E958BB"/>
    <w:rsid w:val="30F000E1"/>
    <w:rsid w:val="311F308B"/>
    <w:rsid w:val="31456F95"/>
    <w:rsid w:val="317C228B"/>
    <w:rsid w:val="318B24CE"/>
    <w:rsid w:val="31AD4AD2"/>
    <w:rsid w:val="31CF15AD"/>
    <w:rsid w:val="31E63BA8"/>
    <w:rsid w:val="31EA5447"/>
    <w:rsid w:val="31FE7144"/>
    <w:rsid w:val="32427031"/>
    <w:rsid w:val="326C7E0B"/>
    <w:rsid w:val="327318E0"/>
    <w:rsid w:val="32BE3742"/>
    <w:rsid w:val="32D01D76"/>
    <w:rsid w:val="33415717"/>
    <w:rsid w:val="33517E72"/>
    <w:rsid w:val="33DB773D"/>
    <w:rsid w:val="33E13636"/>
    <w:rsid w:val="34841945"/>
    <w:rsid w:val="34897199"/>
    <w:rsid w:val="3490763B"/>
    <w:rsid w:val="34C603ED"/>
    <w:rsid w:val="34DB376C"/>
    <w:rsid w:val="35085F9D"/>
    <w:rsid w:val="355C48AD"/>
    <w:rsid w:val="357C6CFE"/>
    <w:rsid w:val="369473F8"/>
    <w:rsid w:val="37144D14"/>
    <w:rsid w:val="37312F28"/>
    <w:rsid w:val="37A3298A"/>
    <w:rsid w:val="37B30F66"/>
    <w:rsid w:val="37F65CCF"/>
    <w:rsid w:val="3847632B"/>
    <w:rsid w:val="389712B7"/>
    <w:rsid w:val="38B247E4"/>
    <w:rsid w:val="38B90269"/>
    <w:rsid w:val="38D429AD"/>
    <w:rsid w:val="38F301AC"/>
    <w:rsid w:val="39705914"/>
    <w:rsid w:val="39C12F31"/>
    <w:rsid w:val="39C62C3D"/>
    <w:rsid w:val="39DC40CE"/>
    <w:rsid w:val="3A40561D"/>
    <w:rsid w:val="3A667235"/>
    <w:rsid w:val="3A804B9A"/>
    <w:rsid w:val="3AC151B3"/>
    <w:rsid w:val="3ACC4283"/>
    <w:rsid w:val="3ADB6274"/>
    <w:rsid w:val="3B021A53"/>
    <w:rsid w:val="3B731877"/>
    <w:rsid w:val="3BC907C3"/>
    <w:rsid w:val="3C394954"/>
    <w:rsid w:val="3CA37266"/>
    <w:rsid w:val="3CF643AA"/>
    <w:rsid w:val="3D0C0967"/>
    <w:rsid w:val="3D25335F"/>
    <w:rsid w:val="3D3659E4"/>
    <w:rsid w:val="3D4402AC"/>
    <w:rsid w:val="3D762284"/>
    <w:rsid w:val="3E135D25"/>
    <w:rsid w:val="3E151A9D"/>
    <w:rsid w:val="3E454D22"/>
    <w:rsid w:val="3ED100BA"/>
    <w:rsid w:val="3ED8395B"/>
    <w:rsid w:val="3EDB2CE7"/>
    <w:rsid w:val="3EF1250A"/>
    <w:rsid w:val="3F223600"/>
    <w:rsid w:val="3F285C7B"/>
    <w:rsid w:val="3F4F0FDF"/>
    <w:rsid w:val="3FAA3D1E"/>
    <w:rsid w:val="400A1C99"/>
    <w:rsid w:val="400C28EA"/>
    <w:rsid w:val="403652FA"/>
    <w:rsid w:val="403A3A3D"/>
    <w:rsid w:val="40E35E83"/>
    <w:rsid w:val="41587BCF"/>
    <w:rsid w:val="41AF2209"/>
    <w:rsid w:val="41FD2F74"/>
    <w:rsid w:val="422B54CD"/>
    <w:rsid w:val="422E4822"/>
    <w:rsid w:val="42463782"/>
    <w:rsid w:val="42576B28"/>
    <w:rsid w:val="42594CFD"/>
    <w:rsid w:val="42664FBD"/>
    <w:rsid w:val="42B073CA"/>
    <w:rsid w:val="42E45EE2"/>
    <w:rsid w:val="42F13B2C"/>
    <w:rsid w:val="437C436D"/>
    <w:rsid w:val="437E45EA"/>
    <w:rsid w:val="43EF4B3E"/>
    <w:rsid w:val="44001D30"/>
    <w:rsid w:val="44967308"/>
    <w:rsid w:val="44CB55AC"/>
    <w:rsid w:val="44E65F41"/>
    <w:rsid w:val="455434EC"/>
    <w:rsid w:val="45677B22"/>
    <w:rsid w:val="45FE72BB"/>
    <w:rsid w:val="460D2E6C"/>
    <w:rsid w:val="460D5750"/>
    <w:rsid w:val="46195EA3"/>
    <w:rsid w:val="461E170B"/>
    <w:rsid w:val="4622744D"/>
    <w:rsid w:val="466730B2"/>
    <w:rsid w:val="467D27FB"/>
    <w:rsid w:val="470152B5"/>
    <w:rsid w:val="4723522B"/>
    <w:rsid w:val="47C6205A"/>
    <w:rsid w:val="47D61232"/>
    <w:rsid w:val="47D93349"/>
    <w:rsid w:val="47E27355"/>
    <w:rsid w:val="47F40975"/>
    <w:rsid w:val="483D231C"/>
    <w:rsid w:val="48B65BD4"/>
    <w:rsid w:val="48DD765B"/>
    <w:rsid w:val="48FB7D98"/>
    <w:rsid w:val="4904108C"/>
    <w:rsid w:val="49080B7C"/>
    <w:rsid w:val="49563FBA"/>
    <w:rsid w:val="49597160"/>
    <w:rsid w:val="495F6C5D"/>
    <w:rsid w:val="497A134E"/>
    <w:rsid w:val="49F04FA9"/>
    <w:rsid w:val="4A0B7AA4"/>
    <w:rsid w:val="4A171B6A"/>
    <w:rsid w:val="4A7E6C1C"/>
    <w:rsid w:val="4A802994"/>
    <w:rsid w:val="4AB83EDC"/>
    <w:rsid w:val="4AC05487"/>
    <w:rsid w:val="4ACC6C2B"/>
    <w:rsid w:val="4AD93E52"/>
    <w:rsid w:val="4AF6313B"/>
    <w:rsid w:val="4B3A0D95"/>
    <w:rsid w:val="4B3D45DA"/>
    <w:rsid w:val="4B5C46A6"/>
    <w:rsid w:val="4BC4555C"/>
    <w:rsid w:val="4BE45514"/>
    <w:rsid w:val="4BFF74B1"/>
    <w:rsid w:val="4C066EC9"/>
    <w:rsid w:val="4C5C2F8D"/>
    <w:rsid w:val="4C871CAA"/>
    <w:rsid w:val="4C943335"/>
    <w:rsid w:val="4CF669CB"/>
    <w:rsid w:val="4CF85F6B"/>
    <w:rsid w:val="4DB841F3"/>
    <w:rsid w:val="4E3B5550"/>
    <w:rsid w:val="4E4E7703"/>
    <w:rsid w:val="4E516B22"/>
    <w:rsid w:val="4E53036B"/>
    <w:rsid w:val="4F1836D9"/>
    <w:rsid w:val="4FC9295A"/>
    <w:rsid w:val="4FFC486B"/>
    <w:rsid w:val="500876B4"/>
    <w:rsid w:val="50100316"/>
    <w:rsid w:val="50340E0F"/>
    <w:rsid w:val="504B75A0"/>
    <w:rsid w:val="506F7733"/>
    <w:rsid w:val="507408A5"/>
    <w:rsid w:val="50E90E4D"/>
    <w:rsid w:val="513149E8"/>
    <w:rsid w:val="513B2C5D"/>
    <w:rsid w:val="51E05EB9"/>
    <w:rsid w:val="51FA302C"/>
    <w:rsid w:val="526019F9"/>
    <w:rsid w:val="52AA4A52"/>
    <w:rsid w:val="531A3B9B"/>
    <w:rsid w:val="533C1422"/>
    <w:rsid w:val="534722A1"/>
    <w:rsid w:val="53B460FE"/>
    <w:rsid w:val="53B967D7"/>
    <w:rsid w:val="53E43F94"/>
    <w:rsid w:val="53FE75A0"/>
    <w:rsid w:val="540041D6"/>
    <w:rsid w:val="543636AC"/>
    <w:rsid w:val="543F11CA"/>
    <w:rsid w:val="544467E1"/>
    <w:rsid w:val="546E1AAF"/>
    <w:rsid w:val="548B08B3"/>
    <w:rsid w:val="549A4653"/>
    <w:rsid w:val="549B7616"/>
    <w:rsid w:val="549C486F"/>
    <w:rsid w:val="54AA722A"/>
    <w:rsid w:val="54F55D2D"/>
    <w:rsid w:val="54F77E01"/>
    <w:rsid w:val="5501635D"/>
    <w:rsid w:val="551663CF"/>
    <w:rsid w:val="552A6896"/>
    <w:rsid w:val="558A286E"/>
    <w:rsid w:val="55D47245"/>
    <w:rsid w:val="560B1CAC"/>
    <w:rsid w:val="5612303A"/>
    <w:rsid w:val="561861CC"/>
    <w:rsid w:val="56364F8F"/>
    <w:rsid w:val="56BC2FA6"/>
    <w:rsid w:val="56E10C5F"/>
    <w:rsid w:val="577F75DE"/>
    <w:rsid w:val="57AE0B41"/>
    <w:rsid w:val="580A7D41"/>
    <w:rsid w:val="583905A4"/>
    <w:rsid w:val="586705E1"/>
    <w:rsid w:val="58823D7B"/>
    <w:rsid w:val="58D50A2B"/>
    <w:rsid w:val="59170968"/>
    <w:rsid w:val="59470A52"/>
    <w:rsid w:val="596651E2"/>
    <w:rsid w:val="59837DAB"/>
    <w:rsid w:val="598D0C2A"/>
    <w:rsid w:val="5A1153B7"/>
    <w:rsid w:val="5A1B7FE4"/>
    <w:rsid w:val="5A4D4E8F"/>
    <w:rsid w:val="5A4E660B"/>
    <w:rsid w:val="5A755E8B"/>
    <w:rsid w:val="5AAD47CF"/>
    <w:rsid w:val="5AE41DBE"/>
    <w:rsid w:val="5AF0571F"/>
    <w:rsid w:val="5B9E579F"/>
    <w:rsid w:val="5BC677E4"/>
    <w:rsid w:val="5C163158"/>
    <w:rsid w:val="5C447CC6"/>
    <w:rsid w:val="5C6D1C4C"/>
    <w:rsid w:val="5CF82EF2"/>
    <w:rsid w:val="5D2E002E"/>
    <w:rsid w:val="5D3E52C4"/>
    <w:rsid w:val="5D8B36D2"/>
    <w:rsid w:val="5DD706C5"/>
    <w:rsid w:val="5E0F60B1"/>
    <w:rsid w:val="5E2D6537"/>
    <w:rsid w:val="5E39628A"/>
    <w:rsid w:val="5E473A9D"/>
    <w:rsid w:val="5E687C0F"/>
    <w:rsid w:val="5EA85275"/>
    <w:rsid w:val="5ECF68A6"/>
    <w:rsid w:val="5EE10589"/>
    <w:rsid w:val="5EF56809"/>
    <w:rsid w:val="5F064133"/>
    <w:rsid w:val="5FC627A0"/>
    <w:rsid w:val="605816A8"/>
    <w:rsid w:val="606D70BF"/>
    <w:rsid w:val="60D44997"/>
    <w:rsid w:val="617D1968"/>
    <w:rsid w:val="62906FB9"/>
    <w:rsid w:val="63107694"/>
    <w:rsid w:val="632A1297"/>
    <w:rsid w:val="632F0827"/>
    <w:rsid w:val="63452C99"/>
    <w:rsid w:val="636E22FB"/>
    <w:rsid w:val="63A70597"/>
    <w:rsid w:val="63BA261B"/>
    <w:rsid w:val="63F5294F"/>
    <w:rsid w:val="643061D8"/>
    <w:rsid w:val="64EC0EFA"/>
    <w:rsid w:val="6518584B"/>
    <w:rsid w:val="65256EAA"/>
    <w:rsid w:val="65261F3A"/>
    <w:rsid w:val="65270184"/>
    <w:rsid w:val="654F790E"/>
    <w:rsid w:val="67236729"/>
    <w:rsid w:val="673247A9"/>
    <w:rsid w:val="67A83007"/>
    <w:rsid w:val="682D7860"/>
    <w:rsid w:val="685B32A1"/>
    <w:rsid w:val="68815E47"/>
    <w:rsid w:val="692F2D98"/>
    <w:rsid w:val="69DB153D"/>
    <w:rsid w:val="6A5E5EC5"/>
    <w:rsid w:val="6ACD0E23"/>
    <w:rsid w:val="6ACD59B9"/>
    <w:rsid w:val="6AD47DD8"/>
    <w:rsid w:val="6B9F5E97"/>
    <w:rsid w:val="6BE83187"/>
    <w:rsid w:val="6BF40694"/>
    <w:rsid w:val="6C44161C"/>
    <w:rsid w:val="6CA9147F"/>
    <w:rsid w:val="6CBE629F"/>
    <w:rsid w:val="6CD04C5E"/>
    <w:rsid w:val="6D35260A"/>
    <w:rsid w:val="6DF1132F"/>
    <w:rsid w:val="6E02353D"/>
    <w:rsid w:val="6E761835"/>
    <w:rsid w:val="6EBA074A"/>
    <w:rsid w:val="6EDC453B"/>
    <w:rsid w:val="6EEA58C1"/>
    <w:rsid w:val="6F341E31"/>
    <w:rsid w:val="6FBD596D"/>
    <w:rsid w:val="70466F16"/>
    <w:rsid w:val="70733D11"/>
    <w:rsid w:val="709C192B"/>
    <w:rsid w:val="712401D6"/>
    <w:rsid w:val="71B132B0"/>
    <w:rsid w:val="72463042"/>
    <w:rsid w:val="73076EFF"/>
    <w:rsid w:val="73375FB8"/>
    <w:rsid w:val="73DD76C0"/>
    <w:rsid w:val="74497DBF"/>
    <w:rsid w:val="747841DC"/>
    <w:rsid w:val="74813304"/>
    <w:rsid w:val="74E5580B"/>
    <w:rsid w:val="753C40C7"/>
    <w:rsid w:val="7546251E"/>
    <w:rsid w:val="75D43A11"/>
    <w:rsid w:val="75D752AF"/>
    <w:rsid w:val="76544B51"/>
    <w:rsid w:val="765C7562"/>
    <w:rsid w:val="76615334"/>
    <w:rsid w:val="76991D85"/>
    <w:rsid w:val="7713446B"/>
    <w:rsid w:val="77170059"/>
    <w:rsid w:val="782F44E1"/>
    <w:rsid w:val="78331E41"/>
    <w:rsid w:val="788D7E9D"/>
    <w:rsid w:val="79083885"/>
    <w:rsid w:val="79140292"/>
    <w:rsid w:val="791862EC"/>
    <w:rsid w:val="793437F6"/>
    <w:rsid w:val="79907C4E"/>
    <w:rsid w:val="79A2404B"/>
    <w:rsid w:val="79A4194C"/>
    <w:rsid w:val="79E03564"/>
    <w:rsid w:val="7A0B7864"/>
    <w:rsid w:val="7A1E2F64"/>
    <w:rsid w:val="7A235449"/>
    <w:rsid w:val="7A923E9A"/>
    <w:rsid w:val="7AAC0AB8"/>
    <w:rsid w:val="7AD87261"/>
    <w:rsid w:val="7AE00762"/>
    <w:rsid w:val="7B1D19B6"/>
    <w:rsid w:val="7B44786E"/>
    <w:rsid w:val="7B5B24DE"/>
    <w:rsid w:val="7B604536"/>
    <w:rsid w:val="7B875081"/>
    <w:rsid w:val="7BBF0CBF"/>
    <w:rsid w:val="7C016BE2"/>
    <w:rsid w:val="7C4028DA"/>
    <w:rsid w:val="7CAE6F83"/>
    <w:rsid w:val="7CCC1201"/>
    <w:rsid w:val="7D543629"/>
    <w:rsid w:val="7D5F62B6"/>
    <w:rsid w:val="7D676F18"/>
    <w:rsid w:val="7DB3054C"/>
    <w:rsid w:val="7DE762AB"/>
    <w:rsid w:val="7E01111B"/>
    <w:rsid w:val="7E5D029C"/>
    <w:rsid w:val="7E683079"/>
    <w:rsid w:val="7E7B6E1F"/>
    <w:rsid w:val="7E9F26E2"/>
    <w:rsid w:val="7F2A28F3"/>
    <w:rsid w:val="7F8E4AD0"/>
    <w:rsid w:val="7F9B734D"/>
    <w:rsid w:val="7FAB583A"/>
    <w:rsid w:val="7FB96999"/>
    <w:rsid w:val="7FE120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5"/>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0"/>
    <w:pPr>
      <w:ind w:firstLine="420" w:firstLineChars="20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pPr>
      <w:spacing w:after="120"/>
    </w:pPr>
    <w:rPr>
      <w:sz w:val="28"/>
      <w:szCs w:val="24"/>
    </w:rPr>
  </w:style>
  <w:style w:type="paragraph" w:styleId="16">
    <w:name w:val="Body Text First Indent"/>
    <w:basedOn w:val="15"/>
    <w:qFormat/>
    <w:uiPriority w:val="0"/>
    <w:pPr>
      <w:spacing w:after="120" w:afterLines="0"/>
      <w:ind w:firstLine="420" w:firstLineChars="100"/>
    </w:pPr>
    <w:rPr>
      <w:rFonts w:ascii="Times New Roman" w:hAnsi="Times New Roman" w:eastAsia="宋体"/>
      <w:sz w:val="21"/>
      <w:szCs w:val="24"/>
    </w:rPr>
  </w:style>
  <w:style w:type="paragraph" w:styleId="17">
    <w:name w:val="Body Text Indent"/>
    <w:basedOn w:val="1"/>
    <w:next w:val="18"/>
    <w:unhideWhenUsed/>
    <w:qFormat/>
    <w:uiPriority w:val="99"/>
    <w:pPr>
      <w:spacing w:after="120"/>
      <w:ind w:left="420" w:leftChars="200"/>
    </w:pPr>
  </w:style>
  <w:style w:type="paragraph" w:styleId="18">
    <w:name w:val="envelope return"/>
    <w:basedOn w:val="1"/>
    <w:qFormat/>
    <w:uiPriority w:val="0"/>
    <w:pPr>
      <w:snapToGrid w:val="0"/>
    </w:pPr>
    <w:rPr>
      <w:rFonts w:ascii="Arial" w:hAnsi="Arial"/>
    </w:rPr>
  </w:style>
  <w:style w:type="paragraph" w:styleId="19">
    <w:name w:val="index 4"/>
    <w:basedOn w:val="1"/>
    <w:next w:val="1"/>
    <w:semiHidden/>
    <w:qFormat/>
    <w:uiPriority w:val="99"/>
    <w:pPr>
      <w:ind w:firstLine="0" w:firstLineChars="0"/>
      <w:jc w:val="left"/>
    </w:pPr>
    <w:rPr>
      <w:rFonts w:ascii="Microsoft New Tai Lue" w:hAnsi="Microsoft New Tai Lue" w:cs="Microsoft New Tai Lue"/>
      <w:i/>
      <w:iCs/>
      <w:kern w:val="0"/>
      <w:position w:val="-10"/>
      <w:u w:val="dash"/>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hAnsi="Courier New"/>
      <w:kern w:val="0"/>
      <w:sz w:val="20"/>
      <w:szCs w:val="21"/>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1"/>
    <w:semiHidden/>
    <w:unhideWhenUsed/>
    <w:qFormat/>
    <w:uiPriority w:val="99"/>
    <w:pPr>
      <w:spacing w:after="0" w:line="240" w:lineRule="auto"/>
    </w:pPr>
    <w:rPr>
      <w:sz w:val="20"/>
    </w:rPr>
  </w:style>
  <w:style w:type="paragraph" w:styleId="25">
    <w:name w:val="footer"/>
    <w:basedOn w:val="1"/>
    <w:link w:val="64"/>
    <w:unhideWhenUsed/>
    <w:qFormat/>
    <w:uiPriority w:val="99"/>
    <w:pPr>
      <w:tabs>
        <w:tab w:val="center" w:pos="7143"/>
        <w:tab w:val="right" w:pos="14287"/>
      </w:tabs>
      <w:spacing w:after="0" w:line="240" w:lineRule="auto"/>
    </w:pPr>
  </w:style>
  <w:style w:type="paragraph" w:styleId="26">
    <w:name w:val="header"/>
    <w:basedOn w:val="1"/>
    <w:link w:val="62"/>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7"/>
    <w:qFormat/>
    <w:uiPriority w:val="11"/>
    <w:pPr>
      <w:spacing w:before="200" w:after="200"/>
    </w:pPr>
    <w:rPr>
      <w:sz w:val="24"/>
      <w:szCs w:val="24"/>
    </w:rPr>
  </w:style>
  <w:style w:type="paragraph" w:styleId="30">
    <w:name w:val="footnote text"/>
    <w:basedOn w:val="1"/>
    <w:link w:val="190"/>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Body Text 2"/>
    <w:basedOn w:val="1"/>
    <w:qFormat/>
    <w:uiPriority w:val="0"/>
    <w:pPr>
      <w:spacing w:after="120" w:line="480" w:lineRule="auto"/>
    </w:pPr>
    <w:rPr>
      <w:rFonts w:ascii="Calibri" w:hAnsi="Calibri"/>
    </w:rPr>
  </w:style>
  <w:style w:type="paragraph" w:styleId="36">
    <w:name w:val="Title"/>
    <w:basedOn w:val="1"/>
    <w:next w:val="1"/>
    <w:link w:val="56"/>
    <w:qFormat/>
    <w:uiPriority w:val="10"/>
    <w:pPr>
      <w:spacing w:before="300" w:after="200"/>
      <w:contextualSpacing/>
    </w:pPr>
    <w:rPr>
      <w:sz w:val="48"/>
      <w:szCs w:val="48"/>
    </w:rPr>
  </w:style>
  <w:style w:type="paragraph" w:styleId="37">
    <w:name w:val="Body Text First Indent 2"/>
    <w:basedOn w:val="17"/>
    <w:qFormat/>
    <w:uiPriority w:val="0"/>
    <w:pPr>
      <w:ind w:firstLine="420"/>
    </w:p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正文文本缩进1"/>
    <w:basedOn w:val="1"/>
    <w:unhideWhenUsed/>
    <w:qFormat/>
    <w:uiPriority w:val="0"/>
    <w:pPr>
      <w:ind w:firstLine="420"/>
    </w:pPr>
    <w:rPr>
      <w:rFonts w:ascii="宋体" w:hAnsi="宋体"/>
      <w:szCs w:val="24"/>
    </w:rPr>
  </w:style>
  <w:style w:type="character" w:customStyle="1" w:styleId="45">
    <w:name w:val="Heading 1 Char"/>
    <w:link w:val="2"/>
    <w:qFormat/>
    <w:uiPriority w:val="9"/>
    <w:rPr>
      <w:rFonts w:ascii="Arial" w:hAnsi="Arial" w:eastAsia="Arial" w:cs="Arial"/>
      <w:sz w:val="40"/>
      <w:szCs w:val="40"/>
    </w:rPr>
  </w:style>
  <w:style w:type="character" w:customStyle="1" w:styleId="46">
    <w:name w:val="Heading 2 Char"/>
    <w:link w:val="3"/>
    <w:qFormat/>
    <w:uiPriority w:val="9"/>
    <w:rPr>
      <w:rFonts w:ascii="Arial" w:hAnsi="Arial" w:eastAsia="Arial" w:cs="Arial"/>
      <w:sz w:val="34"/>
    </w:rPr>
  </w:style>
  <w:style w:type="character" w:customStyle="1" w:styleId="47">
    <w:name w:val="Heading 3 Char"/>
    <w:link w:val="4"/>
    <w:qFormat/>
    <w:uiPriority w:val="9"/>
    <w:rPr>
      <w:rFonts w:ascii="Arial" w:hAnsi="Arial" w:eastAsia="Arial" w:cs="Arial"/>
      <w:sz w:val="30"/>
      <w:szCs w:val="30"/>
    </w:rPr>
  </w:style>
  <w:style w:type="character" w:customStyle="1" w:styleId="48">
    <w:name w:val="Heading 4 Char"/>
    <w:link w:val="5"/>
    <w:qFormat/>
    <w:uiPriority w:val="9"/>
    <w:rPr>
      <w:rFonts w:ascii="Arial" w:hAnsi="Arial" w:eastAsia="Arial" w:cs="Arial"/>
      <w:b/>
      <w:bCs/>
      <w:sz w:val="26"/>
      <w:szCs w:val="26"/>
    </w:rPr>
  </w:style>
  <w:style w:type="character" w:customStyle="1" w:styleId="49">
    <w:name w:val="Heading 5 Char"/>
    <w:link w:val="6"/>
    <w:qFormat/>
    <w:uiPriority w:val="9"/>
    <w:rPr>
      <w:rFonts w:ascii="Arial" w:hAnsi="Arial" w:eastAsia="Arial" w:cs="Arial"/>
      <w:b/>
      <w:bCs/>
      <w:sz w:val="24"/>
      <w:szCs w:val="24"/>
    </w:rPr>
  </w:style>
  <w:style w:type="character" w:customStyle="1" w:styleId="50">
    <w:name w:val="Heading 6 Char"/>
    <w:link w:val="7"/>
    <w:qFormat/>
    <w:uiPriority w:val="9"/>
    <w:rPr>
      <w:rFonts w:ascii="Arial" w:hAnsi="Arial" w:eastAsia="Arial" w:cs="Arial"/>
      <w:b/>
      <w:bCs/>
      <w:sz w:val="22"/>
      <w:szCs w:val="22"/>
    </w:rPr>
  </w:style>
  <w:style w:type="character" w:customStyle="1" w:styleId="51">
    <w:name w:val="Heading 7 Char"/>
    <w:link w:val="8"/>
    <w:qFormat/>
    <w:uiPriority w:val="9"/>
    <w:rPr>
      <w:rFonts w:ascii="Arial" w:hAnsi="Arial" w:eastAsia="Arial" w:cs="Arial"/>
      <w:b/>
      <w:bCs/>
      <w:i/>
      <w:iCs/>
      <w:sz w:val="22"/>
      <w:szCs w:val="22"/>
    </w:rPr>
  </w:style>
  <w:style w:type="character" w:customStyle="1" w:styleId="52">
    <w:name w:val="Heading 8 Char"/>
    <w:link w:val="9"/>
    <w:qFormat/>
    <w:uiPriority w:val="9"/>
    <w:rPr>
      <w:rFonts w:ascii="Arial" w:hAnsi="Arial" w:eastAsia="Arial" w:cs="Arial"/>
      <w:i/>
      <w:iCs/>
      <w:sz w:val="22"/>
      <w:szCs w:val="22"/>
    </w:rPr>
  </w:style>
  <w:style w:type="character" w:customStyle="1" w:styleId="53">
    <w:name w:val="Heading 9 Char"/>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pPr>
      <w:spacing w:before="0" w:after="0" w:line="240" w:lineRule="auto"/>
    </w:pPr>
    <w:rPr>
      <w:rFonts w:hint="default" w:ascii="Calibri" w:hAnsi="Calibri" w:eastAsia="宋体" w:cs="Times New Roman"/>
    </w:rPr>
  </w:style>
  <w:style w:type="character" w:customStyle="1" w:styleId="56">
    <w:name w:val="Title Char"/>
    <w:link w:val="36"/>
    <w:qFormat/>
    <w:uiPriority w:val="10"/>
    <w:rPr>
      <w:sz w:val="48"/>
      <w:szCs w:val="48"/>
    </w:rPr>
  </w:style>
  <w:style w:type="character" w:customStyle="1" w:styleId="57">
    <w:name w:val="Subtitle Char"/>
    <w:link w:val="29"/>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link w:val="26"/>
    <w:qFormat/>
    <w:uiPriority w:val="99"/>
  </w:style>
  <w:style w:type="character" w:customStyle="1" w:styleId="63">
    <w:name w:val="Footer Char"/>
    <w:link w:val="25"/>
    <w:qFormat/>
    <w:uiPriority w:val="99"/>
  </w:style>
  <w:style w:type="character" w:customStyle="1" w:styleId="64">
    <w:name w:val="Caption Char"/>
    <w:link w:val="25"/>
    <w:qFormat/>
    <w:uiPriority w:val="99"/>
  </w:style>
  <w:style w:type="table" w:customStyle="1" w:styleId="6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30"/>
    <w:qFormat/>
    <w:uiPriority w:val="99"/>
    <w:rPr>
      <w:sz w:val="18"/>
    </w:rPr>
  </w:style>
  <w:style w:type="character" w:customStyle="1" w:styleId="191">
    <w:name w:val="Endnote Text Char"/>
    <w:link w:val="24"/>
    <w:qFormat/>
    <w:uiPriority w:val="99"/>
    <w:rPr>
      <w:sz w:val="20"/>
    </w:rPr>
  </w:style>
  <w:style w:type="paragraph" w:customStyle="1" w:styleId="192">
    <w:name w:val="TOC Heading"/>
    <w:unhideWhenUsed/>
    <w:qFormat/>
    <w:uiPriority w:val="39"/>
    <w:rPr>
      <w:rFonts w:hint="default" w:ascii="Calibri" w:hAnsi="Calibri" w:eastAsia="宋体" w:cs="Times New Roman"/>
    </w:rPr>
  </w:style>
  <w:style w:type="paragraph" w:customStyle="1" w:styleId="193">
    <w:name w:val="标题 11"/>
    <w:basedOn w:val="1"/>
    <w:next w:val="1"/>
    <w:qFormat/>
    <w:uiPriority w:val="9"/>
    <w:pPr>
      <w:keepNext/>
      <w:keepLines/>
      <w:spacing w:before="340" w:after="330" w:line="578" w:lineRule="auto"/>
      <w:outlineLvl w:val="0"/>
    </w:pPr>
    <w:rPr>
      <w:b/>
      <w:bCs/>
      <w:sz w:val="44"/>
      <w:szCs w:val="44"/>
    </w:rPr>
  </w:style>
  <w:style w:type="paragraph" w:customStyle="1" w:styleId="194">
    <w:name w:val="标题 21"/>
    <w:basedOn w:val="1"/>
    <w:next w:val="19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5">
    <w:name w:val="正文缩进1"/>
    <w:basedOn w:val="1"/>
    <w:link w:val="201"/>
    <w:unhideWhenUsed/>
    <w:qFormat/>
    <w:uiPriority w:val="0"/>
    <w:pPr>
      <w:ind w:firstLine="420"/>
    </w:pPr>
  </w:style>
  <w:style w:type="paragraph" w:customStyle="1" w:styleId="196">
    <w:name w:val="标题 31"/>
    <w:basedOn w:val="1"/>
    <w:next w:val="1"/>
    <w:qFormat/>
    <w:uiPriority w:val="0"/>
    <w:pPr>
      <w:keepNext/>
      <w:keepLines/>
      <w:spacing w:before="260" w:after="260" w:line="416" w:lineRule="auto"/>
      <w:outlineLvl w:val="2"/>
    </w:pPr>
    <w:rPr>
      <w:b/>
      <w:bCs/>
      <w:sz w:val="32"/>
      <w:szCs w:val="32"/>
    </w:rPr>
  </w:style>
  <w:style w:type="character" w:customStyle="1" w:styleId="197">
    <w:name w:val="默认段落字体1"/>
    <w:link w:val="1"/>
    <w:semiHidden/>
    <w:qFormat/>
    <w:uiPriority w:val="0"/>
  </w:style>
  <w:style w:type="table" w:customStyle="1" w:styleId="198">
    <w:name w:val="普通表格1"/>
    <w:semiHidden/>
    <w:qFormat/>
    <w:uiPriority w:val="0"/>
  </w:style>
  <w:style w:type="paragraph" w:customStyle="1" w:styleId="199">
    <w:name w:val="正文文本11"/>
    <w:basedOn w:val="1"/>
    <w:next w:val="1"/>
    <w:link w:val="200"/>
    <w:qFormat/>
    <w:uiPriority w:val="0"/>
    <w:rPr>
      <w:rFonts w:ascii="楷体_GB2312" w:hAnsi="Arial" w:eastAsia="楷体_GB2312"/>
      <w:sz w:val="28"/>
      <w:szCs w:val="28"/>
    </w:rPr>
  </w:style>
  <w:style w:type="character" w:customStyle="1" w:styleId="200">
    <w:name w:val="正文文本 字符"/>
    <w:link w:val="199"/>
    <w:qFormat/>
    <w:uiPriority w:val="0"/>
    <w:rPr>
      <w:rFonts w:ascii="楷体_GB2312" w:hAnsi="Arial" w:eastAsia="楷体_GB2312"/>
      <w:sz w:val="28"/>
      <w:szCs w:val="28"/>
    </w:rPr>
  </w:style>
  <w:style w:type="character" w:customStyle="1" w:styleId="201">
    <w:name w:val="正文缩进 字符"/>
    <w:link w:val="195"/>
    <w:qFormat/>
    <w:uiPriority w:val="0"/>
    <w:rPr>
      <w:sz w:val="21"/>
      <w:szCs w:val="22"/>
    </w:rPr>
  </w:style>
  <w:style w:type="paragraph" w:customStyle="1" w:styleId="202">
    <w:name w:val="批注文字1"/>
    <w:basedOn w:val="1"/>
    <w:link w:val="203"/>
    <w:qFormat/>
    <w:uiPriority w:val="0"/>
    <w:pPr>
      <w:jc w:val="left"/>
    </w:pPr>
  </w:style>
  <w:style w:type="character" w:customStyle="1" w:styleId="203">
    <w:name w:val="批注文字 字符"/>
    <w:link w:val="202"/>
    <w:qFormat/>
    <w:uiPriority w:val="0"/>
    <w:rPr>
      <w:sz w:val="21"/>
      <w:szCs w:val="22"/>
    </w:rPr>
  </w:style>
  <w:style w:type="paragraph" w:customStyle="1" w:styleId="204">
    <w:name w:val="索引 41"/>
    <w:basedOn w:val="1"/>
    <w:next w:val="1"/>
    <w:qFormat/>
    <w:uiPriority w:val="0"/>
    <w:pPr>
      <w:ind w:left="600"/>
    </w:pPr>
    <w:rPr>
      <w:szCs w:val="24"/>
    </w:rPr>
  </w:style>
  <w:style w:type="paragraph" w:customStyle="1" w:styleId="205">
    <w:name w:val="纯文本1"/>
    <w:basedOn w:val="1"/>
    <w:qFormat/>
    <w:uiPriority w:val="99"/>
    <w:rPr>
      <w:rFonts w:ascii="宋体" w:hAnsi="Courier New"/>
      <w:sz w:val="20"/>
      <w:szCs w:val="21"/>
    </w:rPr>
  </w:style>
  <w:style w:type="paragraph" w:customStyle="1" w:styleId="206">
    <w:name w:val="页脚1"/>
    <w:basedOn w:val="1"/>
    <w:unhideWhenUsed/>
    <w:qFormat/>
    <w:uiPriority w:val="99"/>
    <w:pPr>
      <w:tabs>
        <w:tab w:val="center" w:pos="4153"/>
        <w:tab w:val="right" w:pos="8306"/>
      </w:tabs>
      <w:jc w:val="left"/>
    </w:pPr>
    <w:rPr>
      <w:sz w:val="18"/>
      <w:szCs w:val="18"/>
    </w:rPr>
  </w:style>
  <w:style w:type="paragraph" w:customStyle="1" w:styleId="207">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08">
    <w:name w:val="普通(网站)1"/>
    <w:basedOn w:val="1"/>
    <w:qFormat/>
    <w:uiPriority w:val="0"/>
    <w:rPr>
      <w:rFonts w:ascii="Times New Roman" w:hAnsi="Times New Roman"/>
      <w:sz w:val="24"/>
    </w:rPr>
  </w:style>
  <w:style w:type="paragraph" w:customStyle="1" w:styleId="209">
    <w:name w:val="批注主题1"/>
    <w:basedOn w:val="202"/>
    <w:next w:val="202"/>
    <w:link w:val="210"/>
    <w:qFormat/>
    <w:uiPriority w:val="0"/>
    <w:rPr>
      <w:b/>
      <w:bCs/>
    </w:rPr>
  </w:style>
  <w:style w:type="character" w:customStyle="1" w:styleId="210">
    <w:name w:val="批注主题 字符"/>
    <w:link w:val="209"/>
    <w:qFormat/>
    <w:uiPriority w:val="0"/>
    <w:rPr>
      <w:b/>
      <w:bCs/>
      <w:sz w:val="21"/>
      <w:szCs w:val="22"/>
    </w:rPr>
  </w:style>
  <w:style w:type="paragraph" w:customStyle="1" w:styleId="211">
    <w:name w:val="正文文本首行缩进"/>
    <w:basedOn w:val="199"/>
    <w:link w:val="212"/>
    <w:qFormat/>
    <w:uiPriority w:val="0"/>
    <w:pPr>
      <w:spacing w:after="120"/>
      <w:ind w:firstLine="420"/>
    </w:pPr>
    <w:rPr>
      <w:position w:val="-10"/>
      <w:sz w:val="21"/>
      <w:szCs w:val="24"/>
      <w:lang w:val="zh-CN"/>
    </w:rPr>
  </w:style>
  <w:style w:type="character" w:customStyle="1" w:styleId="212">
    <w:name w:val="正文文本首行缩进 字符"/>
    <w:link w:val="211"/>
    <w:qFormat/>
    <w:uiPriority w:val="0"/>
    <w:rPr>
      <w:rFonts w:ascii="楷体_GB2312" w:hAnsi="Arial" w:eastAsia="楷体_GB2312"/>
      <w:position w:val="-10"/>
      <w:sz w:val="21"/>
      <w:szCs w:val="24"/>
      <w:lang w:val="zh-CN"/>
    </w:rPr>
  </w:style>
  <w:style w:type="table" w:customStyle="1" w:styleId="213">
    <w:name w:val="网格型1"/>
    <w:basedOn w:val="198"/>
    <w:qFormat/>
    <w:uiPriority w:val="59"/>
    <w:pPr>
      <w:spacing w:after="0" w:line="240" w:lineRule="auto"/>
    </w:pPr>
  </w:style>
  <w:style w:type="character" w:customStyle="1" w:styleId="214">
    <w:name w:val="要点1"/>
    <w:link w:val="1"/>
    <w:qFormat/>
    <w:uiPriority w:val="0"/>
    <w:rPr>
      <w:b/>
    </w:rPr>
  </w:style>
  <w:style w:type="character" w:customStyle="1" w:styleId="215">
    <w:name w:val="批注引用1"/>
    <w:link w:val="1"/>
    <w:qFormat/>
    <w:uiPriority w:val="0"/>
    <w:rPr>
      <w:sz w:val="21"/>
      <w:szCs w:val="21"/>
    </w:rPr>
  </w:style>
  <w:style w:type="paragraph" w:customStyle="1" w:styleId="216">
    <w:name w:val="正文1"/>
    <w:basedOn w:val="1"/>
    <w:next w:val="217"/>
    <w:qFormat/>
    <w:uiPriority w:val="0"/>
    <w:pPr>
      <w:spacing w:line="360" w:lineRule="atLeast"/>
      <w:jc w:val="left"/>
    </w:pPr>
    <w:rPr>
      <w:rFonts w:ascii="宋体" w:hAnsi="Calibri" w:eastAsia="宋体" w:cs="Times New Roman"/>
      <w:sz w:val="24"/>
      <w:szCs w:val="20"/>
    </w:rPr>
  </w:style>
  <w:style w:type="paragraph" w:customStyle="1" w:styleId="217">
    <w:name w:val="正文文本1"/>
    <w:basedOn w:val="216"/>
    <w:qFormat/>
    <w:uiPriority w:val="0"/>
    <w:pPr>
      <w:spacing w:after="120"/>
    </w:pPr>
    <w:rPr>
      <w:lang w:eastAsia="en-US"/>
    </w:rPr>
  </w:style>
  <w:style w:type="paragraph" w:customStyle="1" w:styleId="218">
    <w:name w:val="一级条标题"/>
    <w:basedOn w:val="219"/>
    <w:next w:val="22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20">
    <w:name w:val="段"/>
    <w:basedOn w:val="216"/>
    <w:next w:val="1"/>
    <w:qFormat/>
    <w:uiPriority w:val="0"/>
    <w:pPr>
      <w:widowControl/>
      <w:ind w:firstLine="200"/>
    </w:pPr>
    <w:rPr>
      <w:sz w:val="20"/>
    </w:rPr>
  </w:style>
  <w:style w:type="paragraph" w:customStyle="1" w:styleId="221">
    <w:name w:val="列表段落"/>
    <w:basedOn w:val="1"/>
    <w:link w:val="222"/>
    <w:qFormat/>
    <w:uiPriority w:val="0"/>
    <w:pPr>
      <w:widowControl/>
      <w:ind w:left="720"/>
      <w:jc w:val="left"/>
    </w:pPr>
    <w:rPr>
      <w:rFonts w:ascii="Calibri" w:hAnsi="Calibri"/>
      <w:szCs w:val="24"/>
      <w:lang w:eastAsia="en-US" w:bidi="en-US"/>
    </w:rPr>
  </w:style>
  <w:style w:type="character" w:customStyle="1" w:styleId="222">
    <w:name w:val="列表段落 字符"/>
    <w:link w:val="221"/>
    <w:qFormat/>
    <w:uiPriority w:val="0"/>
    <w:rPr>
      <w:sz w:val="21"/>
      <w:szCs w:val="24"/>
      <w:lang w:eastAsia="en-US" w:bidi="en-US"/>
    </w:rPr>
  </w:style>
  <w:style w:type="paragraph" w:customStyle="1" w:styleId="22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24">
    <w:name w:val="Char"/>
    <w:basedOn w:val="1"/>
    <w:qFormat/>
    <w:uiPriority w:val="0"/>
    <w:pPr>
      <w:tabs>
        <w:tab w:val="left" w:pos="360"/>
      </w:tabs>
      <w:ind w:firstLine="200"/>
    </w:pPr>
    <w:rPr>
      <w:rFonts w:ascii="Times New Roman" w:hAnsi="Times New Roman"/>
      <w:sz w:val="28"/>
      <w:szCs w:val="30"/>
    </w:rPr>
  </w:style>
  <w:style w:type="paragraph" w:customStyle="1" w:styleId="225">
    <w:name w:val="Default"/>
    <w:qFormat/>
    <w:uiPriority w:val="99"/>
    <w:pPr>
      <w:widowControl w:val="0"/>
    </w:pPr>
    <w:rPr>
      <w:rFonts w:hint="default" w:ascii="MS Mincho" w:hAnsi="MS Mincho" w:eastAsia="宋体" w:cs="Times New Roman"/>
      <w:color w:val="000000"/>
      <w:sz w:val="21"/>
      <w:szCs w:val="24"/>
      <w:lang w:val="en-US" w:eastAsia="zh-CN" w:bidi="ar-SA"/>
    </w:rPr>
  </w:style>
  <w:style w:type="paragraph" w:customStyle="1" w:styleId="226">
    <w:name w:val="p0"/>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27">
    <w:name w:val="修订"/>
    <w:unhideWhenUsed/>
    <w:qFormat/>
    <w:uiPriority w:val="99"/>
    <w:rPr>
      <w:rFonts w:hint="default" w:ascii="Calibri" w:hAnsi="Calibri" w:eastAsia="宋体" w:cs="Times New Roman"/>
      <w:sz w:val="21"/>
      <w:szCs w:val="22"/>
      <w:lang w:val="en-US" w:eastAsia="zh-CN" w:bidi="ar-SA"/>
    </w:rPr>
  </w:style>
  <w:style w:type="paragraph" w:customStyle="1" w:styleId="228">
    <w:name w:val="Table Text"/>
    <w:basedOn w:val="1"/>
    <w:semiHidden/>
    <w:qFormat/>
    <w:uiPriority w:val="0"/>
    <w:rPr>
      <w:rFonts w:ascii="宋体" w:hAnsi="宋体" w:eastAsia="宋体" w:cs="宋体"/>
      <w:sz w:val="16"/>
      <w:szCs w:val="16"/>
      <w:lang w:val="en-US" w:eastAsia="en-US" w:bidi="ar-SA"/>
    </w:rPr>
  </w:style>
  <w:style w:type="table" w:customStyle="1" w:styleId="229">
    <w:name w:val="Table Normal"/>
    <w:semiHidden/>
    <w:unhideWhenUsed/>
    <w:qFormat/>
    <w:uiPriority w:val="0"/>
    <w:tblPr>
      <w:tblCellMar>
        <w:top w:w="0" w:type="dxa"/>
        <w:left w:w="0" w:type="dxa"/>
        <w:bottom w:w="0" w:type="dxa"/>
        <w:right w:w="0" w:type="dxa"/>
      </w:tblCellMar>
    </w:tblPr>
  </w:style>
  <w:style w:type="character" w:customStyle="1" w:styleId="230">
    <w:name w:val="font21"/>
    <w:basedOn w:val="40"/>
    <w:qFormat/>
    <w:uiPriority w:val="0"/>
    <w:rPr>
      <w:rFonts w:ascii="宋体" w:hAnsi="宋体" w:eastAsia="宋体" w:cs="宋体"/>
      <w:color w:val="000000"/>
      <w:sz w:val="18"/>
      <w:szCs w:val="18"/>
      <w:u w:val="none"/>
    </w:rPr>
  </w:style>
  <w:style w:type="character" w:customStyle="1" w:styleId="231">
    <w:name w:val="font31"/>
    <w:basedOn w:val="40"/>
    <w:qFormat/>
    <w:uiPriority w:val="0"/>
    <w:rPr>
      <w:rFonts w:ascii="宋体" w:hAnsi="宋体" w:eastAsia="宋体" w:cs="宋体"/>
      <w:color w:val="000000"/>
      <w:sz w:val="18"/>
      <w:szCs w:val="18"/>
      <w:u w:val="none"/>
    </w:rPr>
  </w:style>
  <w:style w:type="paragraph" w:customStyle="1" w:styleId="232">
    <w:name w:val="正文首行缩进1"/>
    <w:basedOn w:val="217"/>
    <w:qFormat/>
    <w:uiPriority w:val="99"/>
    <w:pPr>
      <w:ind w:firstLine="360"/>
    </w:pPr>
  </w:style>
  <w:style w:type="paragraph" w:customStyle="1" w:styleId="233">
    <w:name w:val="纯文本2"/>
    <w:basedOn w:val="1"/>
    <w:qFormat/>
    <w:uiPriority w:val="0"/>
    <w:pPr>
      <w:spacing w:line="360" w:lineRule="auto"/>
      <w:ind w:firstLine="200" w:firstLineChars="200"/>
    </w:pPr>
    <w:rPr>
      <w:rFonts w:ascii="宋体" w:hAnsi="Courier New"/>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15767</Words>
  <Characters>17364</Characters>
  <TotalTime>9</TotalTime>
  <ScaleCrop>false</ScaleCrop>
  <LinksUpToDate>false</LinksUpToDate>
  <CharactersWithSpaces>17677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2025-02-28T04:20:00Z</dcterms:created>
  <dc:creator>F</dc:creator>
  <cp:lastModifiedBy>叁月</cp:lastModifiedBy>
  <dcterms:modified xsi:type="dcterms:W3CDTF">2025-11-24T13:51:34Z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eyJoZGlkIjoiNmZiODA4YmYwZDEyMTk1MDgzYmVkZjc5MWMxOWNkMzMiLCJ1c2VySWQiOiIzOTE1ODkzOTcifQ==</vt:lpwstr>
  </property>
  <property fmtid="{D5CDD505-2E9C-101B-9397-08002B2CF9AE}" pid="3" name="KSOProductBuildVer">
    <vt:lpwstr>2052-12.1.0.23542</vt:lpwstr>
  </property>
  <property fmtid="{D5CDD505-2E9C-101B-9397-08002B2CF9AE}" pid="4" name="ICV">
    <vt:lpwstr>13DE1B6692214281A7ED56DBAAD5A129_13</vt:lpwstr>
  </property>
</Properties>
</file>